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CD6" w:rsidRDefault="00E91A59">
      <w:pPr>
        <w:spacing w:before="2400" w:line="773" w:lineRule="exact"/>
        <w:jc w:val="center"/>
        <w:rPr>
          <w:rFonts w:ascii="Times New Roman" w:hAnsi="Times New Roman" w:cs="Times New Roman"/>
          <w:b/>
          <w:bCs/>
          <w:sz w:val="36"/>
          <w:szCs w:val="36"/>
        </w:rPr>
      </w:pPr>
      <w:r>
        <w:rPr>
          <w:rFonts w:ascii="Times New Roman" w:hAnsi="Times New Roman" w:cs="Times New Roman"/>
          <w:noProof/>
          <w:kern w:val="0"/>
          <w:sz w:val="24"/>
          <w:szCs w:val="24"/>
        </w:rPr>
        <w:drawing>
          <wp:inline distT="0" distB="0" distL="0" distR="0" wp14:anchorId="716E6BD8" wp14:editId="342C1FA0">
            <wp:extent cx="1409700" cy="154305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9"/>
                    <a:srcRect/>
                    <a:stretch>
                      <a:fillRect/>
                    </a:stretch>
                  </pic:blipFill>
                  <pic:spPr>
                    <a:xfrm>
                      <a:off x="0" y="0"/>
                      <a:ext cx="1409700" cy="1543050"/>
                    </a:xfrm>
                    <a:prstGeom prst="rect">
                      <a:avLst/>
                    </a:prstGeom>
                    <a:noFill/>
                    <a:ln w="9525">
                      <a:noFill/>
                      <a:miter lim="800000"/>
                      <a:headEnd/>
                      <a:tailEnd/>
                    </a:ln>
                  </pic:spPr>
                </pic:pic>
              </a:graphicData>
            </a:graphic>
          </wp:inline>
        </w:drawing>
      </w:r>
    </w:p>
    <w:p w:rsidR="00403CD6" w:rsidRDefault="00E91A59">
      <w:pPr>
        <w:spacing w:before="600" w:line="773" w:lineRule="exact"/>
        <w:jc w:val="center"/>
        <w:rPr>
          <w:rFonts w:ascii="Times New Roman" w:hAnsi="Times New Roman" w:cs="Times New Roman"/>
          <w:b/>
          <w:bCs/>
          <w:sz w:val="36"/>
          <w:szCs w:val="36"/>
        </w:rPr>
      </w:pPr>
      <w:r>
        <w:rPr>
          <w:rFonts w:ascii="Times New Roman" w:hAnsi="Times New Roman" w:cs="Times New Roman"/>
          <w:b/>
          <w:bCs/>
          <w:sz w:val="36"/>
          <w:szCs w:val="36"/>
        </w:rPr>
        <w:t>山东晨鸣纸业集团股份有限公司</w:t>
      </w:r>
    </w:p>
    <w:p w:rsidR="00403CD6" w:rsidRDefault="00E91A59">
      <w:pPr>
        <w:spacing w:before="1000" w:line="240" w:lineRule="exact"/>
        <w:jc w:val="center"/>
        <w:rPr>
          <w:rFonts w:ascii="Times New Roman" w:hAnsi="Times New Roman" w:cs="Times New Roman"/>
          <w:b/>
          <w:bCs/>
          <w:sz w:val="32"/>
          <w:szCs w:val="32"/>
        </w:rPr>
      </w:pPr>
      <w:r>
        <w:rPr>
          <w:rFonts w:ascii="Times New Roman" w:hAnsi="Times New Roman" w:cs="Times New Roman"/>
          <w:b/>
          <w:bCs/>
          <w:sz w:val="32"/>
          <w:szCs w:val="32"/>
        </w:rPr>
        <w:t>202</w:t>
      </w:r>
      <w:r>
        <w:rPr>
          <w:rFonts w:ascii="Times New Roman" w:hAnsi="Times New Roman" w:cs="Times New Roman" w:hint="eastAsia"/>
          <w:b/>
          <w:bCs/>
          <w:sz w:val="32"/>
          <w:szCs w:val="32"/>
        </w:rPr>
        <w:t>4</w:t>
      </w:r>
      <w:r>
        <w:rPr>
          <w:rFonts w:ascii="Times New Roman" w:hAnsi="Times New Roman" w:cs="Times New Roman"/>
          <w:b/>
          <w:bCs/>
          <w:sz w:val="32"/>
          <w:szCs w:val="32"/>
        </w:rPr>
        <w:t>年年度</w:t>
      </w:r>
      <w:r w:rsidR="006C4A3D">
        <w:rPr>
          <w:rFonts w:ascii="Times New Roman" w:hAnsi="Times New Roman" w:cs="Times New Roman" w:hint="eastAsia"/>
          <w:b/>
          <w:bCs/>
          <w:sz w:val="32"/>
          <w:szCs w:val="32"/>
        </w:rPr>
        <w:t>财务</w:t>
      </w:r>
      <w:bookmarkStart w:id="0" w:name="_GoBack"/>
      <w:bookmarkEnd w:id="0"/>
      <w:r>
        <w:rPr>
          <w:rFonts w:ascii="Times New Roman" w:hAnsi="Times New Roman" w:cs="Times New Roman"/>
          <w:b/>
          <w:bCs/>
          <w:sz w:val="32"/>
          <w:szCs w:val="32"/>
        </w:rPr>
        <w:t>报告</w:t>
      </w:r>
    </w:p>
    <w:p w:rsidR="00403CD6" w:rsidRDefault="00403CD6">
      <w:pPr>
        <w:spacing w:before="1000" w:after="1000" w:line="0" w:lineRule="atLeast"/>
        <w:jc w:val="center"/>
        <w:rPr>
          <w:rFonts w:ascii="Times New Roman" w:hAnsi="Times New Roman" w:cs="Times New Roman"/>
        </w:rPr>
      </w:pPr>
    </w:p>
    <w:p w:rsidR="00403CD6" w:rsidRDefault="00403CD6">
      <w:pPr>
        <w:spacing w:before="1000" w:after="1000" w:line="0" w:lineRule="atLeast"/>
        <w:jc w:val="center"/>
        <w:rPr>
          <w:rFonts w:ascii="Times New Roman" w:hAnsi="Times New Roman" w:cs="Times New Roman"/>
        </w:rPr>
      </w:pPr>
    </w:p>
    <w:p w:rsidR="00403CD6" w:rsidRDefault="00403CD6">
      <w:pPr>
        <w:spacing w:before="1000" w:after="1000" w:line="0" w:lineRule="atLeast"/>
        <w:jc w:val="center"/>
        <w:rPr>
          <w:rFonts w:ascii="Times New Roman" w:hAnsi="Times New Roman" w:cs="Times New Roman"/>
        </w:rPr>
      </w:pPr>
    </w:p>
    <w:p w:rsidR="00403CD6" w:rsidRDefault="00403CD6">
      <w:pPr>
        <w:spacing w:before="1000" w:after="1000" w:line="0" w:lineRule="atLeast"/>
        <w:jc w:val="center"/>
        <w:rPr>
          <w:rFonts w:ascii="Times New Roman" w:hAnsi="Times New Roman" w:cs="Times New Roman"/>
        </w:rPr>
      </w:pPr>
    </w:p>
    <w:p w:rsidR="00403CD6" w:rsidRDefault="00E91A59">
      <w:pPr>
        <w:jc w:val="center"/>
        <w:rPr>
          <w:rFonts w:ascii="Times New Roman" w:hAnsi="Times New Roman" w:cs="Times New Roman"/>
          <w:b/>
          <w:bCs/>
          <w:sz w:val="32"/>
          <w:szCs w:val="32"/>
        </w:rPr>
      </w:pPr>
      <w:r>
        <w:rPr>
          <w:rFonts w:ascii="Times New Roman" w:hAnsi="Times New Roman" w:cs="Times New Roman"/>
          <w:b/>
          <w:bCs/>
          <w:sz w:val="32"/>
          <w:szCs w:val="32"/>
        </w:rPr>
        <w:t>202</w:t>
      </w:r>
      <w:r>
        <w:rPr>
          <w:rFonts w:ascii="Times New Roman" w:hAnsi="Times New Roman" w:cs="Times New Roman" w:hint="eastAsia"/>
          <w:b/>
          <w:bCs/>
          <w:sz w:val="32"/>
          <w:szCs w:val="32"/>
        </w:rPr>
        <w:t>5</w:t>
      </w:r>
      <w:r>
        <w:rPr>
          <w:rFonts w:ascii="Times New Roman" w:hAnsi="Times New Roman" w:cs="Times New Roman"/>
          <w:b/>
          <w:bCs/>
          <w:sz w:val="32"/>
          <w:szCs w:val="32"/>
        </w:rPr>
        <w:t>年</w:t>
      </w:r>
      <w:r>
        <w:rPr>
          <w:rFonts w:ascii="Times New Roman" w:hAnsi="Times New Roman" w:cs="Times New Roman"/>
          <w:b/>
          <w:bCs/>
          <w:sz w:val="32"/>
          <w:szCs w:val="32"/>
        </w:rPr>
        <w:t>03</w:t>
      </w:r>
      <w:r>
        <w:rPr>
          <w:rFonts w:ascii="Times New Roman" w:hAnsi="Times New Roman" w:cs="Times New Roman"/>
          <w:b/>
          <w:bCs/>
          <w:sz w:val="32"/>
          <w:szCs w:val="32"/>
        </w:rPr>
        <w:t>月</w:t>
      </w:r>
    </w:p>
    <w:p w:rsidR="00403CD6" w:rsidRDefault="00E91A59">
      <w:pPr>
        <w:jc w:val="center"/>
        <w:rPr>
          <w:rFonts w:ascii="Times New Roman" w:hAnsi="Times New Roman" w:cs="Times New Roman"/>
        </w:rPr>
      </w:pPr>
      <w:r>
        <w:rPr>
          <w:rFonts w:ascii="Times New Roman" w:hAnsi="Times New Roman" w:cs="Times New Roman"/>
        </w:rPr>
        <w:br w:type="page"/>
      </w:r>
    </w:p>
    <w:p w:rsidR="00403CD6" w:rsidRDefault="006C4A3D">
      <w:pPr>
        <w:pStyle w:val="headingh1"/>
        <w:spacing w:before="340" w:after="330" w:line="773" w:lineRule="exact"/>
        <w:jc w:val="center"/>
        <w:rPr>
          <w:rFonts w:ascii="Times New Roman" w:hAnsi="Times New Roman" w:cs="Times New Roman"/>
          <w:b/>
          <w:bCs/>
          <w:sz w:val="32"/>
          <w:szCs w:val="32"/>
        </w:rPr>
      </w:pPr>
      <w:bookmarkStart w:id="1" w:name="_Toc193962560"/>
      <w:r>
        <w:rPr>
          <w:rFonts w:ascii="Times New Roman" w:hAnsi="Times New Roman" w:cs="Times New Roman"/>
          <w:b/>
          <w:bCs/>
          <w:sz w:val="32"/>
          <w:szCs w:val="32"/>
        </w:rPr>
        <w:lastRenderedPageBreak/>
        <w:t>第</w:t>
      </w:r>
      <w:r>
        <w:rPr>
          <w:rFonts w:ascii="Times New Roman" w:hAnsi="Times New Roman" w:cs="Times New Roman" w:hint="eastAsia"/>
          <w:b/>
          <w:bCs/>
          <w:sz w:val="32"/>
          <w:szCs w:val="32"/>
        </w:rPr>
        <w:t>一</w:t>
      </w:r>
      <w:r w:rsidR="00E91A59">
        <w:rPr>
          <w:rFonts w:ascii="Times New Roman" w:hAnsi="Times New Roman" w:cs="Times New Roman"/>
          <w:b/>
          <w:bCs/>
          <w:sz w:val="32"/>
          <w:szCs w:val="32"/>
        </w:rPr>
        <w:t>节</w:t>
      </w:r>
      <w:r w:rsidR="00E91A59">
        <w:rPr>
          <w:rFonts w:ascii="Times New Roman" w:hAnsi="Times New Roman" w:cs="Times New Roman"/>
          <w:b/>
          <w:bCs/>
          <w:sz w:val="32"/>
          <w:szCs w:val="32"/>
        </w:rPr>
        <w:t xml:space="preserve"> </w:t>
      </w:r>
      <w:r w:rsidR="00E91A59">
        <w:rPr>
          <w:rFonts w:ascii="Times New Roman" w:hAnsi="Times New Roman" w:cs="Times New Roman"/>
          <w:b/>
          <w:bCs/>
          <w:sz w:val="32"/>
          <w:szCs w:val="32"/>
        </w:rPr>
        <w:t>财务报告</w:t>
      </w:r>
      <w:bookmarkEnd w:id="1"/>
    </w:p>
    <w:p w:rsidR="00403CD6" w:rsidRDefault="00E91A59">
      <w:pPr>
        <w:pStyle w:val="2"/>
        <w:spacing w:before="300" w:after="300" w:line="320" w:lineRule="exact"/>
        <w:rPr>
          <w:rFonts w:ascii="Times New Roman" w:hAnsi="Times New Roman" w:cs="Times New Roman"/>
          <w:b/>
          <w:bCs/>
          <w:sz w:val="24"/>
          <w:szCs w:val="24"/>
        </w:rPr>
      </w:pPr>
      <w:bookmarkStart w:id="2" w:name="_Toc989055"/>
      <w:r>
        <w:rPr>
          <w:rFonts w:ascii="Times New Roman" w:hAnsi="Times New Roman" w:cs="Times New Roman"/>
          <w:b/>
          <w:bCs/>
          <w:sz w:val="24"/>
          <w:szCs w:val="24"/>
        </w:rPr>
        <w:t>一、审计报告</w:t>
      </w:r>
      <w:bookmarkEnd w:id="2"/>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4819"/>
      </w:tblGrid>
      <w:tr w:rsidR="00403CD6">
        <w:trPr>
          <w:trHeight w:val="240"/>
        </w:trPr>
        <w:tc>
          <w:tcPr>
            <w:tcW w:w="4820" w:type="dxa"/>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审计意见类型</w:t>
            </w:r>
          </w:p>
        </w:tc>
        <w:tc>
          <w:tcPr>
            <w:tcW w:w="4820" w:type="dxa"/>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hint="eastAsia"/>
                <w:sz w:val="18"/>
                <w:szCs w:val="18"/>
              </w:rPr>
              <w:t>保留意见</w:t>
            </w:r>
          </w:p>
        </w:tc>
      </w:tr>
      <w:tr w:rsidR="00403CD6">
        <w:trPr>
          <w:trHeight w:val="240"/>
        </w:trPr>
        <w:tc>
          <w:tcPr>
            <w:tcW w:w="4820" w:type="dxa"/>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审计报告签署日期</w:t>
            </w:r>
          </w:p>
        </w:tc>
        <w:tc>
          <w:tcPr>
            <w:tcW w:w="4820" w:type="dxa"/>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202</w:t>
            </w:r>
            <w:r>
              <w:rPr>
                <w:rFonts w:ascii="Times New Roman" w:hAnsi="Times New Roman" w:cs="Times New Roman" w:hint="eastAsia"/>
                <w:sz w:val="18"/>
                <w:szCs w:val="18"/>
              </w:rPr>
              <w:t>5</w:t>
            </w:r>
            <w:r>
              <w:rPr>
                <w:rFonts w:ascii="Times New Roman" w:hAnsi="Times New Roman" w:cs="Times New Roman"/>
                <w:sz w:val="18"/>
                <w:szCs w:val="18"/>
              </w:rPr>
              <w:t>年</w:t>
            </w:r>
            <w:r>
              <w:rPr>
                <w:rFonts w:ascii="Times New Roman" w:hAnsi="Times New Roman" w:cs="Times New Roman"/>
                <w:sz w:val="18"/>
                <w:szCs w:val="18"/>
              </w:rPr>
              <w:t>3</w:t>
            </w:r>
            <w:r>
              <w:rPr>
                <w:rFonts w:ascii="Times New Roman" w:hAnsi="Times New Roman" w:cs="Times New Roman"/>
                <w:sz w:val="18"/>
                <w:szCs w:val="18"/>
              </w:rPr>
              <w:t>月</w:t>
            </w:r>
            <w:r>
              <w:rPr>
                <w:rFonts w:ascii="Times New Roman" w:hAnsi="Times New Roman" w:cs="Times New Roman" w:hint="eastAsia"/>
                <w:sz w:val="18"/>
                <w:szCs w:val="18"/>
              </w:rPr>
              <w:t>31</w:t>
            </w:r>
            <w:r>
              <w:rPr>
                <w:rFonts w:ascii="Times New Roman" w:hAnsi="Times New Roman" w:cs="Times New Roman"/>
                <w:sz w:val="18"/>
                <w:szCs w:val="18"/>
              </w:rPr>
              <w:t>日</w:t>
            </w:r>
          </w:p>
        </w:tc>
      </w:tr>
      <w:tr w:rsidR="00403CD6">
        <w:trPr>
          <w:trHeight w:val="240"/>
        </w:trPr>
        <w:tc>
          <w:tcPr>
            <w:tcW w:w="4820" w:type="dxa"/>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审计机构名称</w:t>
            </w:r>
          </w:p>
        </w:tc>
        <w:tc>
          <w:tcPr>
            <w:tcW w:w="4820" w:type="dxa"/>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致同会计师事务所（特殊普通合伙）</w:t>
            </w:r>
          </w:p>
        </w:tc>
      </w:tr>
      <w:tr w:rsidR="00403CD6">
        <w:trPr>
          <w:trHeight w:val="240"/>
        </w:trPr>
        <w:tc>
          <w:tcPr>
            <w:tcW w:w="4820" w:type="dxa"/>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审计报告文号</w:t>
            </w:r>
          </w:p>
        </w:tc>
        <w:tc>
          <w:tcPr>
            <w:tcW w:w="4820" w:type="dxa"/>
            <w:vAlign w:val="center"/>
          </w:tcPr>
          <w:p w:rsidR="00403CD6" w:rsidRDefault="00E91A59">
            <w:pPr>
              <w:spacing w:line="240" w:lineRule="exact"/>
              <w:rPr>
                <w:rFonts w:ascii="Times New Roman" w:hAnsi="Times New Roman" w:cs="Times New Roman"/>
                <w:sz w:val="18"/>
                <w:szCs w:val="18"/>
              </w:rPr>
            </w:pPr>
            <w:proofErr w:type="gramStart"/>
            <w:r>
              <w:rPr>
                <w:rFonts w:ascii="Times New Roman" w:hAnsi="Times New Roman" w:cs="Times New Roman"/>
                <w:sz w:val="18"/>
                <w:szCs w:val="18"/>
              </w:rPr>
              <w:t>致同审字</w:t>
            </w:r>
            <w:proofErr w:type="gramEnd"/>
            <w:r>
              <w:rPr>
                <w:rFonts w:ascii="Times New Roman" w:hAnsi="Times New Roman" w:cs="Times New Roman"/>
                <w:sz w:val="18"/>
                <w:szCs w:val="18"/>
              </w:rPr>
              <w:t>（</w:t>
            </w:r>
            <w:r>
              <w:rPr>
                <w:rFonts w:ascii="Times New Roman" w:hAnsi="Times New Roman" w:cs="Times New Roman"/>
                <w:sz w:val="18"/>
                <w:szCs w:val="18"/>
              </w:rPr>
              <w:t>202</w:t>
            </w:r>
            <w:r>
              <w:rPr>
                <w:rFonts w:ascii="Times New Roman" w:hAnsi="Times New Roman" w:cs="Times New Roman" w:hint="eastAsia"/>
                <w:sz w:val="18"/>
                <w:szCs w:val="18"/>
              </w:rPr>
              <w:t>5</w:t>
            </w:r>
            <w:r>
              <w:rPr>
                <w:rFonts w:ascii="Times New Roman" w:hAnsi="Times New Roman" w:cs="Times New Roman"/>
                <w:sz w:val="18"/>
                <w:szCs w:val="18"/>
              </w:rPr>
              <w:t>）第</w:t>
            </w:r>
            <w:r w:rsidR="00330E2E" w:rsidRPr="00330E2E">
              <w:rPr>
                <w:rFonts w:ascii="Times New Roman" w:hAnsi="Times New Roman" w:cs="Times New Roman" w:hint="eastAsia"/>
                <w:sz w:val="18"/>
                <w:szCs w:val="18"/>
              </w:rPr>
              <w:t>371A006392</w:t>
            </w:r>
            <w:r>
              <w:rPr>
                <w:rFonts w:ascii="Times New Roman" w:hAnsi="Times New Roman" w:cs="Times New Roman"/>
                <w:sz w:val="18"/>
                <w:szCs w:val="18"/>
              </w:rPr>
              <w:t>号</w:t>
            </w:r>
          </w:p>
        </w:tc>
      </w:tr>
      <w:tr w:rsidR="00403CD6">
        <w:trPr>
          <w:trHeight w:val="240"/>
        </w:trPr>
        <w:tc>
          <w:tcPr>
            <w:tcW w:w="4820" w:type="dxa"/>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注册会计师姓名</w:t>
            </w:r>
          </w:p>
        </w:tc>
        <w:tc>
          <w:tcPr>
            <w:tcW w:w="4820" w:type="dxa"/>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hint="eastAsia"/>
                <w:sz w:val="18"/>
                <w:szCs w:val="18"/>
              </w:rPr>
              <w:t>江涛、郭冬梅</w:t>
            </w:r>
          </w:p>
        </w:tc>
      </w:tr>
    </w:tbl>
    <w:p w:rsidR="00403CD6" w:rsidRDefault="00E91A59">
      <w:pPr>
        <w:spacing w:before="100" w:after="100" w:line="240" w:lineRule="exact"/>
        <w:jc w:val="center"/>
        <w:rPr>
          <w:rFonts w:ascii="Times New Roman" w:hAnsi="Times New Roman" w:cs="Times New Roman"/>
          <w:sz w:val="18"/>
          <w:szCs w:val="18"/>
        </w:rPr>
      </w:pPr>
      <w:r>
        <w:rPr>
          <w:rFonts w:ascii="Times New Roman" w:hAnsi="Times New Roman" w:cs="Times New Roman"/>
          <w:sz w:val="18"/>
          <w:szCs w:val="18"/>
        </w:rPr>
        <w:t>审计报告正文</w:t>
      </w:r>
    </w:p>
    <w:p w:rsidR="00403CD6" w:rsidRDefault="00E91A59">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t>山东晨鸣纸业集团股份有限公司全体股东：</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一、保留意见</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我们审计了山东晨鸣纸业集团股份有限公司（以下简称晨鸣纸业公司）财务报表，包括</w:t>
      </w:r>
      <w:r>
        <w:rPr>
          <w:rFonts w:ascii="Times New Roman" w:eastAsia="宋体" w:hAnsi="Times New Roman" w:cs="Times New Roman"/>
          <w:sz w:val="18"/>
          <w:szCs w:val="18"/>
        </w:rPr>
        <w:t>202</w:t>
      </w:r>
      <w:r>
        <w:rPr>
          <w:rFonts w:ascii="Times New Roman" w:eastAsia="宋体" w:hAnsi="Times New Roman" w:cs="Times New Roman" w:hint="eastAsia"/>
          <w:sz w:val="18"/>
          <w:szCs w:val="18"/>
        </w:rPr>
        <w:t>4</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日的合并及公司资产负债表，</w:t>
      </w:r>
      <w:r>
        <w:rPr>
          <w:rFonts w:ascii="Times New Roman" w:eastAsia="宋体" w:hAnsi="Times New Roman" w:cs="Times New Roman"/>
          <w:sz w:val="18"/>
          <w:szCs w:val="18"/>
        </w:rPr>
        <w:t>202</w:t>
      </w:r>
      <w:r>
        <w:rPr>
          <w:rFonts w:ascii="Times New Roman" w:eastAsia="宋体" w:hAnsi="Times New Roman" w:cs="Times New Roman" w:hint="eastAsia"/>
          <w:sz w:val="18"/>
          <w:szCs w:val="18"/>
        </w:rPr>
        <w:t>4</w:t>
      </w:r>
      <w:r>
        <w:rPr>
          <w:rFonts w:ascii="Times New Roman" w:eastAsia="宋体" w:hAnsi="Times New Roman" w:cs="Times New Roman" w:hint="eastAsia"/>
          <w:sz w:val="18"/>
          <w:szCs w:val="18"/>
        </w:rPr>
        <w:t>年度的合并及公司利润表、合并及公司现金流量表、合并及公司股东权益变动表以及相关财务报表附注。</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我们认为，除“形成保留意见的基础”部分所述事项产生的影响外，后附的财务报表在所有重大方面按照企业会计准则的规定编制，公允反映了晨鸣纸业公司</w:t>
      </w:r>
      <w:r>
        <w:rPr>
          <w:rFonts w:ascii="Times New Roman" w:eastAsia="宋体" w:hAnsi="Times New Roman" w:cs="Times New Roman"/>
          <w:sz w:val="18"/>
          <w:szCs w:val="18"/>
        </w:rPr>
        <w:t>2024</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日的合并及公司财务状况以及</w:t>
      </w:r>
      <w:r>
        <w:rPr>
          <w:rFonts w:ascii="Times New Roman" w:eastAsia="宋体" w:hAnsi="Times New Roman" w:cs="Times New Roman"/>
          <w:sz w:val="18"/>
          <w:szCs w:val="18"/>
        </w:rPr>
        <w:t>2024</w:t>
      </w:r>
      <w:r>
        <w:rPr>
          <w:rFonts w:ascii="Times New Roman" w:eastAsia="宋体" w:hAnsi="Times New Roman" w:cs="Times New Roman" w:hint="eastAsia"/>
          <w:sz w:val="18"/>
          <w:szCs w:val="18"/>
        </w:rPr>
        <w:t>年度的合并及公司经营成果和现金流量。</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二、形成保留意见的基础</w:t>
      </w:r>
    </w:p>
    <w:p w:rsidR="003175C2" w:rsidRPr="003175C2" w:rsidRDefault="003175C2" w:rsidP="003B0A57">
      <w:pPr>
        <w:ind w:firstLineChars="200" w:firstLine="360"/>
        <w:rPr>
          <w:rFonts w:ascii="Times New Roman" w:eastAsia="宋体" w:hAnsi="Times New Roman" w:cs="Times New Roman"/>
          <w:sz w:val="18"/>
          <w:szCs w:val="18"/>
        </w:rPr>
      </w:pPr>
      <w:r w:rsidRPr="003B0A57">
        <w:rPr>
          <w:rFonts w:ascii="Times New Roman" w:eastAsia="宋体" w:hAnsi="Times New Roman" w:cs="Times New Roman" w:hint="eastAsia"/>
          <w:sz w:val="18"/>
          <w:szCs w:val="18"/>
        </w:rPr>
        <w:t>持续经营能力</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如财务报表附注二所述，</w:t>
      </w:r>
      <w:r w:rsidR="00D035E5" w:rsidRPr="00F45AED">
        <w:rPr>
          <w:rFonts w:ascii="Times New Roman" w:eastAsia="宋体" w:hAnsi="Times New Roman" w:cs="Times New Roman" w:hint="eastAsia"/>
          <w:sz w:val="18"/>
          <w:szCs w:val="18"/>
        </w:rPr>
        <w:t>晨鸣纸业公司连续亏损，</w:t>
      </w:r>
      <w:r>
        <w:rPr>
          <w:rFonts w:ascii="Times New Roman" w:eastAsia="宋体" w:hAnsi="Times New Roman" w:cs="Times New Roman" w:hint="eastAsia"/>
          <w:sz w:val="18"/>
          <w:szCs w:val="18"/>
        </w:rPr>
        <w:t>晨鸣纸业公司</w:t>
      </w:r>
      <w:r>
        <w:rPr>
          <w:rFonts w:ascii="Times New Roman" w:eastAsia="宋体" w:hAnsi="Times New Roman" w:cs="Times New Roman" w:hint="eastAsia"/>
          <w:sz w:val="18"/>
          <w:szCs w:val="18"/>
        </w:rPr>
        <w:t>2</w:t>
      </w:r>
      <w:r>
        <w:rPr>
          <w:rFonts w:ascii="Times New Roman" w:eastAsia="宋体" w:hAnsi="Times New Roman" w:cs="Times New Roman"/>
          <w:sz w:val="18"/>
          <w:szCs w:val="18"/>
        </w:rPr>
        <w:t>024</w:t>
      </w:r>
      <w:r>
        <w:rPr>
          <w:rFonts w:ascii="Times New Roman" w:eastAsia="宋体" w:hAnsi="Times New Roman" w:cs="Times New Roman" w:hint="eastAsia"/>
          <w:sz w:val="18"/>
          <w:szCs w:val="18"/>
        </w:rPr>
        <w:t>年度扣除非经常性损益后归属于母公司股东的净</w:t>
      </w:r>
      <w:r w:rsidR="00A65A1C">
        <w:rPr>
          <w:rFonts w:ascii="Times New Roman" w:eastAsia="宋体" w:hAnsi="Times New Roman" w:cs="Times New Roman" w:hint="eastAsia"/>
          <w:sz w:val="18"/>
          <w:szCs w:val="18"/>
        </w:rPr>
        <w:t>亏损</w:t>
      </w:r>
      <w:r>
        <w:rPr>
          <w:rFonts w:ascii="Times New Roman" w:eastAsia="宋体" w:hAnsi="Times New Roman" w:cs="Times New Roman" w:hint="eastAsia"/>
          <w:sz w:val="18"/>
          <w:szCs w:val="18"/>
        </w:rPr>
        <w:t>为</w:t>
      </w:r>
      <w:r>
        <w:rPr>
          <w:rFonts w:ascii="Times New Roman" w:eastAsia="宋体" w:hAnsi="Times New Roman" w:cs="Times New Roman"/>
          <w:sz w:val="18"/>
          <w:szCs w:val="18"/>
        </w:rPr>
        <w:t>72.</w:t>
      </w:r>
      <w:r w:rsidR="00B5761E">
        <w:rPr>
          <w:rFonts w:ascii="Times New Roman" w:eastAsia="宋体" w:hAnsi="Times New Roman" w:cs="Times New Roman" w:hint="eastAsia"/>
          <w:sz w:val="18"/>
          <w:szCs w:val="18"/>
        </w:rPr>
        <w:t>02</w:t>
      </w:r>
      <w:r>
        <w:rPr>
          <w:rFonts w:ascii="Times New Roman" w:eastAsia="宋体" w:hAnsi="Times New Roman" w:cs="Times New Roman" w:hint="eastAsia"/>
          <w:sz w:val="18"/>
          <w:szCs w:val="18"/>
        </w:rPr>
        <w:t>亿元，截至</w:t>
      </w:r>
      <w:r>
        <w:rPr>
          <w:rFonts w:ascii="Times New Roman" w:eastAsia="宋体" w:hAnsi="Times New Roman" w:cs="Times New Roman"/>
          <w:sz w:val="18"/>
          <w:szCs w:val="18"/>
        </w:rPr>
        <w:t>2024</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日的资产负债率</w:t>
      </w:r>
      <w:r w:rsidR="00DD271E">
        <w:rPr>
          <w:rFonts w:ascii="Times New Roman" w:eastAsia="宋体" w:hAnsi="Times New Roman" w:cs="Times New Roman" w:hint="eastAsia"/>
          <w:sz w:val="18"/>
          <w:szCs w:val="18"/>
        </w:rPr>
        <w:t>升至</w:t>
      </w:r>
      <w:r>
        <w:rPr>
          <w:rFonts w:ascii="Times New Roman" w:eastAsia="宋体" w:hAnsi="Times New Roman" w:cs="Times New Roman"/>
          <w:sz w:val="18"/>
          <w:szCs w:val="18"/>
        </w:rPr>
        <w:t>79.</w:t>
      </w:r>
      <w:r w:rsidR="00B5761E">
        <w:rPr>
          <w:rFonts w:ascii="Times New Roman" w:eastAsia="宋体" w:hAnsi="Times New Roman" w:cs="Times New Roman" w:hint="eastAsia"/>
          <w:sz w:val="18"/>
          <w:szCs w:val="18"/>
        </w:rPr>
        <w:t>79</w:t>
      </w:r>
      <w:r>
        <w:rPr>
          <w:rFonts w:ascii="Times New Roman" w:eastAsia="宋体" w:hAnsi="Times New Roman" w:cs="Times New Roman"/>
          <w:sz w:val="18"/>
          <w:szCs w:val="18"/>
        </w:rPr>
        <w:t>%</w:t>
      </w:r>
      <w:r>
        <w:rPr>
          <w:rFonts w:ascii="Times New Roman" w:eastAsia="宋体" w:hAnsi="Times New Roman" w:cs="Times New Roman" w:hint="eastAsia"/>
          <w:sz w:val="18"/>
          <w:szCs w:val="18"/>
        </w:rPr>
        <w:t>，流动比率为</w:t>
      </w:r>
      <w:r>
        <w:rPr>
          <w:rFonts w:ascii="Times New Roman" w:eastAsia="宋体" w:hAnsi="Times New Roman" w:cs="Times New Roman"/>
          <w:sz w:val="18"/>
          <w:szCs w:val="18"/>
        </w:rPr>
        <w:t>0.36</w:t>
      </w:r>
      <w:r>
        <w:rPr>
          <w:rFonts w:ascii="Times New Roman" w:eastAsia="宋体" w:hAnsi="Times New Roman" w:cs="Times New Roman" w:hint="eastAsia"/>
          <w:sz w:val="18"/>
          <w:szCs w:val="18"/>
        </w:rPr>
        <w:t>。</w:t>
      </w:r>
      <w:proofErr w:type="gramStart"/>
      <w:r>
        <w:rPr>
          <w:rFonts w:ascii="Times New Roman" w:eastAsia="宋体" w:hAnsi="Times New Roman" w:cs="Times New Roman" w:hint="eastAsia"/>
          <w:sz w:val="18"/>
          <w:szCs w:val="18"/>
        </w:rPr>
        <w:t>报告期晨鸣</w:t>
      </w:r>
      <w:proofErr w:type="gramEnd"/>
      <w:r>
        <w:rPr>
          <w:rFonts w:ascii="Times New Roman" w:eastAsia="宋体" w:hAnsi="Times New Roman" w:cs="Times New Roman" w:hint="eastAsia"/>
          <w:sz w:val="18"/>
          <w:szCs w:val="18"/>
        </w:rPr>
        <w:t>纸业公司出现流动性困难，金融机构借款、供应商货款出现逾期，多个银行账户被冻结及部分资产查封，因债务逾期引发多起诉讼及仲裁案件，且部分生产线停工停产，面临较大的经营风险和财务风险。</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上述事项</w:t>
      </w:r>
      <w:r w:rsidR="00DD271E" w:rsidRPr="00F45AED">
        <w:rPr>
          <w:rFonts w:ascii="Times New Roman" w:eastAsia="宋体" w:hAnsi="Times New Roman" w:cs="Times New Roman" w:hint="eastAsia"/>
          <w:sz w:val="18"/>
          <w:szCs w:val="18"/>
        </w:rPr>
        <w:t>或情形</w:t>
      </w:r>
      <w:r>
        <w:rPr>
          <w:rFonts w:ascii="Times New Roman" w:eastAsia="宋体" w:hAnsi="Times New Roman" w:cs="Times New Roman" w:hint="eastAsia"/>
          <w:sz w:val="18"/>
          <w:szCs w:val="18"/>
        </w:rPr>
        <w:t>表明存在可能导致对晨鸣纸业公司持续经营能力产生疑虑的重大不确定性。晨鸣纸业公司已在财务报表附注中披露了可能导致对持续经营能力产生重大疑惑的主要事项和部分应对措施，但化解债务和复工复产的进度存在重大不确定性，</w:t>
      </w:r>
      <w:r w:rsidR="005B2DC3" w:rsidRPr="003B0A57">
        <w:rPr>
          <w:rFonts w:ascii="Times New Roman" w:eastAsia="宋体" w:hAnsi="Times New Roman" w:cs="Times New Roman" w:hint="eastAsia"/>
          <w:sz w:val="18"/>
          <w:szCs w:val="18"/>
        </w:rPr>
        <w:t>晨鸣纸业公司</w:t>
      </w:r>
      <w:r>
        <w:rPr>
          <w:rFonts w:ascii="Times New Roman" w:eastAsia="宋体" w:hAnsi="Times New Roman" w:cs="Times New Roman" w:hint="eastAsia"/>
          <w:sz w:val="18"/>
          <w:szCs w:val="18"/>
        </w:rPr>
        <w:t>管理层</w:t>
      </w:r>
      <w:r w:rsidR="005B2DC3" w:rsidRPr="003B0A57">
        <w:rPr>
          <w:rFonts w:ascii="Times New Roman" w:eastAsia="宋体" w:hAnsi="Times New Roman" w:cs="Times New Roman" w:hint="eastAsia"/>
          <w:sz w:val="18"/>
          <w:szCs w:val="18"/>
        </w:rPr>
        <w:t>（以下简称管理层）</w:t>
      </w:r>
      <w:r>
        <w:rPr>
          <w:rFonts w:ascii="Times New Roman" w:eastAsia="宋体" w:hAnsi="Times New Roman" w:cs="Times New Roman" w:hint="eastAsia"/>
          <w:sz w:val="18"/>
          <w:szCs w:val="18"/>
        </w:rPr>
        <w:t>未能充分披露消除上述持续经营能力重大不确定性的切实措施</w:t>
      </w:r>
      <w:r w:rsidR="005B2DC3">
        <w:rPr>
          <w:rFonts w:ascii="Times New Roman" w:eastAsia="宋体" w:hAnsi="Times New Roman" w:cs="Times New Roman" w:hint="eastAsia"/>
          <w:sz w:val="18"/>
          <w:szCs w:val="18"/>
        </w:rPr>
        <w:t>，</w:t>
      </w:r>
      <w:r w:rsidR="005B2DC3" w:rsidRPr="003B0A57">
        <w:rPr>
          <w:rFonts w:ascii="Times New Roman" w:eastAsia="宋体" w:hAnsi="Times New Roman" w:cs="Times New Roman" w:hint="eastAsia"/>
          <w:sz w:val="18"/>
          <w:szCs w:val="18"/>
        </w:rPr>
        <w:t>对于管理层基于未来正常经营判断所确认的</w:t>
      </w:r>
      <w:r w:rsidR="005B2DC3" w:rsidRPr="003B0A57">
        <w:rPr>
          <w:rFonts w:ascii="Times New Roman" w:eastAsia="宋体" w:hAnsi="Times New Roman" w:cs="Times New Roman"/>
          <w:sz w:val="18"/>
          <w:szCs w:val="18"/>
        </w:rPr>
        <w:t>2024</w:t>
      </w:r>
      <w:r w:rsidR="005B2DC3" w:rsidRPr="003B0A57">
        <w:rPr>
          <w:rFonts w:ascii="Times New Roman" w:eastAsia="宋体" w:hAnsi="Times New Roman" w:cs="Times New Roman" w:hint="eastAsia"/>
          <w:sz w:val="18"/>
          <w:szCs w:val="18"/>
        </w:rPr>
        <w:t>年末递延所得税资产累计余额</w:t>
      </w:r>
      <w:r w:rsidR="005B2DC3" w:rsidRPr="003B0A57">
        <w:rPr>
          <w:rFonts w:ascii="Times New Roman" w:eastAsia="宋体" w:hAnsi="Times New Roman" w:cs="Times New Roman"/>
          <w:sz w:val="18"/>
          <w:szCs w:val="18"/>
        </w:rPr>
        <w:t>179,063.90</w:t>
      </w:r>
      <w:r w:rsidR="005B2DC3" w:rsidRPr="003B0A57">
        <w:rPr>
          <w:rFonts w:ascii="Times New Roman" w:eastAsia="宋体" w:hAnsi="Times New Roman" w:cs="Times New Roman" w:hint="eastAsia"/>
          <w:sz w:val="18"/>
          <w:szCs w:val="18"/>
        </w:rPr>
        <w:t>万元，我们无法获取充分的审计证据用以判断是否具备企业会计准则所规定的确认条件。</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按照中国注册会计师审计准则的规定执行了审计工作。审计报告的“注册会计师对财务报表审计的责任”部分进一步阐述了我们在这些准则下的责任。按照中国注册会计师职业道德守则，我们独立于晨鸣纸业公司，并履行了职业道德方面的其他责任。我们相信，我们获取的审计证据是充分、适当的，为发表审计意见提供了基础。</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三、关键审计事项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关键审计事项是我们根据职业判断，认为对本期财务报表审计最为重要的事项。这些事项的应对以对财务报表整体进行审计并形成审计意见为背景，我们不对这些事项单独发表意见。除“形成保留意见的基础”部分所描述的事项外，我们确定下列事项是需要在审计报告中沟通的关键审计事项。</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（一）应收融资租赁款、应收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和应收债权转让款的减值测试</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相关信息披露详见财务报表附注三、</w:t>
      </w:r>
      <w:r w:rsidRPr="00F45AED">
        <w:rPr>
          <w:rFonts w:ascii="Times New Roman" w:eastAsia="宋体" w:hAnsi="Times New Roman" w:cs="Times New Roman"/>
          <w:sz w:val="18"/>
          <w:szCs w:val="18"/>
        </w:rPr>
        <w:t>11</w:t>
      </w:r>
      <w:r w:rsidRPr="00F45AED">
        <w:rPr>
          <w:rFonts w:ascii="Times New Roman" w:eastAsia="宋体" w:hAnsi="Times New Roman" w:cs="Times New Roman" w:hint="eastAsia"/>
          <w:sz w:val="18"/>
          <w:szCs w:val="18"/>
        </w:rPr>
        <w:t>和附注五、</w:t>
      </w:r>
      <w:r w:rsidRPr="00F45AED">
        <w:rPr>
          <w:rFonts w:ascii="Times New Roman" w:eastAsia="宋体" w:hAnsi="Times New Roman" w:cs="Times New Roman"/>
          <w:sz w:val="18"/>
          <w:szCs w:val="18"/>
        </w:rPr>
        <w:t>4</w:t>
      </w: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7</w:t>
      </w: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9</w:t>
      </w: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10</w:t>
      </w: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11</w:t>
      </w:r>
      <w:r w:rsidRPr="00F45AED">
        <w:rPr>
          <w:rFonts w:ascii="Times New Roman" w:eastAsia="宋体" w:hAnsi="Times New Roman" w:cs="Times New Roman" w:hint="eastAsia"/>
          <w:sz w:val="18"/>
          <w:szCs w:val="18"/>
        </w:rPr>
        <w:t>。</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截至</w:t>
      </w:r>
      <w:r w:rsidRPr="00F45AED">
        <w:rPr>
          <w:rFonts w:ascii="Times New Roman" w:eastAsia="宋体" w:hAnsi="Times New Roman" w:cs="Times New Roman"/>
          <w:sz w:val="18"/>
          <w:szCs w:val="18"/>
        </w:rPr>
        <w:t>2024</w:t>
      </w:r>
      <w:r w:rsidRPr="00F45AED">
        <w:rPr>
          <w:rFonts w:ascii="Times New Roman" w:eastAsia="宋体" w:hAnsi="Times New Roman" w:cs="Times New Roman" w:hint="eastAsia"/>
          <w:sz w:val="18"/>
          <w:szCs w:val="18"/>
        </w:rPr>
        <w:t>年</w:t>
      </w:r>
      <w:r w:rsidRPr="00F45AED">
        <w:rPr>
          <w:rFonts w:ascii="Times New Roman" w:eastAsia="宋体" w:hAnsi="Times New Roman" w:cs="Times New Roman"/>
          <w:sz w:val="18"/>
          <w:szCs w:val="18"/>
        </w:rPr>
        <w:t>12</w:t>
      </w:r>
      <w:r w:rsidRPr="00F45AED">
        <w:rPr>
          <w:rFonts w:ascii="Times New Roman" w:eastAsia="宋体" w:hAnsi="Times New Roman" w:cs="Times New Roman" w:hint="eastAsia"/>
          <w:sz w:val="18"/>
          <w:szCs w:val="18"/>
        </w:rPr>
        <w:t>月</w:t>
      </w:r>
      <w:r w:rsidRPr="00F45AED">
        <w:rPr>
          <w:rFonts w:ascii="Times New Roman" w:eastAsia="宋体" w:hAnsi="Times New Roman" w:cs="Times New Roman"/>
          <w:sz w:val="18"/>
          <w:szCs w:val="18"/>
        </w:rPr>
        <w:t>31</w:t>
      </w:r>
      <w:r w:rsidRPr="00F45AED">
        <w:rPr>
          <w:rFonts w:ascii="Times New Roman" w:eastAsia="宋体" w:hAnsi="Times New Roman" w:cs="Times New Roman" w:hint="eastAsia"/>
          <w:sz w:val="18"/>
          <w:szCs w:val="18"/>
        </w:rPr>
        <w:t>日，晨鸣纸业公司应收融资租赁款、应收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和应收债权转让款账面余额合计</w:t>
      </w:r>
      <w:r w:rsidRPr="00F45AED">
        <w:rPr>
          <w:rFonts w:ascii="Times New Roman" w:eastAsia="宋体" w:hAnsi="Times New Roman" w:cs="Times New Roman"/>
          <w:sz w:val="18"/>
          <w:szCs w:val="18"/>
        </w:rPr>
        <w:t>889,850.57</w:t>
      </w:r>
      <w:r w:rsidRPr="00F45AED">
        <w:rPr>
          <w:rFonts w:ascii="Times New Roman" w:eastAsia="宋体" w:hAnsi="Times New Roman" w:cs="Times New Roman" w:hint="eastAsia"/>
          <w:sz w:val="18"/>
          <w:szCs w:val="18"/>
        </w:rPr>
        <w:t>万元，计提减值准备</w:t>
      </w:r>
      <w:r w:rsidRPr="00F45AED">
        <w:rPr>
          <w:rFonts w:ascii="Times New Roman" w:eastAsia="宋体" w:hAnsi="Times New Roman" w:cs="Times New Roman"/>
          <w:sz w:val="18"/>
          <w:szCs w:val="18"/>
        </w:rPr>
        <w:t>460,067.97</w:t>
      </w:r>
      <w:r w:rsidRPr="00F45AED">
        <w:rPr>
          <w:rFonts w:ascii="Times New Roman" w:eastAsia="宋体" w:hAnsi="Times New Roman" w:cs="Times New Roman" w:hint="eastAsia"/>
          <w:sz w:val="18"/>
          <w:szCs w:val="18"/>
        </w:rPr>
        <w:t>万元，账面价值</w:t>
      </w:r>
      <w:r w:rsidRPr="00F45AED">
        <w:rPr>
          <w:rFonts w:ascii="Times New Roman" w:eastAsia="宋体" w:hAnsi="Times New Roman" w:cs="Times New Roman"/>
          <w:sz w:val="18"/>
          <w:szCs w:val="18"/>
        </w:rPr>
        <w:t>429,782.60</w:t>
      </w:r>
      <w:r w:rsidRPr="00F45AED">
        <w:rPr>
          <w:rFonts w:ascii="Times New Roman" w:eastAsia="宋体" w:hAnsi="Times New Roman" w:cs="Times New Roman" w:hint="eastAsia"/>
          <w:sz w:val="18"/>
          <w:szCs w:val="18"/>
        </w:rPr>
        <w:t>万元。</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由于晨鸣纸业公司应收融资租赁款、应收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和应收债权转让款金额重大且减值测试涉及管理层的重大会计估计和判断，因此我们将应收融资租赁款、</w:t>
      </w:r>
      <w:r w:rsidR="0068312E">
        <w:rPr>
          <w:rFonts w:ascii="Times New Roman" w:eastAsia="宋体" w:hAnsi="Times New Roman" w:cs="Times New Roman" w:hint="eastAsia"/>
          <w:sz w:val="18"/>
          <w:szCs w:val="18"/>
        </w:rPr>
        <w:t>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w:t>
      </w:r>
      <w:r w:rsidR="0068312E">
        <w:rPr>
          <w:rFonts w:ascii="Times New Roman" w:eastAsia="宋体" w:hAnsi="Times New Roman" w:cs="Times New Roman" w:hint="eastAsia"/>
          <w:sz w:val="18"/>
          <w:szCs w:val="18"/>
        </w:rPr>
        <w:t>应收</w:t>
      </w:r>
      <w:r w:rsidRPr="00F45AED">
        <w:rPr>
          <w:rFonts w:ascii="Times New Roman" w:eastAsia="宋体" w:hAnsi="Times New Roman" w:cs="Times New Roman" w:hint="eastAsia"/>
          <w:sz w:val="18"/>
          <w:szCs w:val="18"/>
        </w:rPr>
        <w:t>债权转让款的减值测试识别为关键审计事项。</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sz w:val="18"/>
          <w:szCs w:val="18"/>
        </w:rPr>
        <w:lastRenderedPageBreak/>
        <w:t>2</w:t>
      </w:r>
      <w:r w:rsidRPr="00F45AED">
        <w:rPr>
          <w:rFonts w:ascii="Times New Roman" w:eastAsia="宋体" w:hAnsi="Times New Roman" w:cs="Times New Roman" w:hint="eastAsia"/>
          <w:sz w:val="18"/>
          <w:szCs w:val="18"/>
        </w:rPr>
        <w:t>、审计应对</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1</w:t>
      </w:r>
      <w:r w:rsidRPr="00F45AED">
        <w:rPr>
          <w:rFonts w:ascii="Times New Roman" w:eastAsia="宋体" w:hAnsi="Times New Roman" w:cs="Times New Roman" w:hint="eastAsia"/>
          <w:sz w:val="18"/>
          <w:szCs w:val="18"/>
        </w:rPr>
        <w:t>）了解了晨鸣纸业公司对应收融资租赁款、</w:t>
      </w:r>
      <w:r w:rsidR="0068312E">
        <w:rPr>
          <w:rFonts w:ascii="Times New Roman" w:eastAsia="宋体" w:hAnsi="Times New Roman" w:cs="Times New Roman" w:hint="eastAsia"/>
          <w:sz w:val="18"/>
          <w:szCs w:val="18"/>
        </w:rPr>
        <w:t>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w:t>
      </w:r>
      <w:r w:rsidR="0068312E">
        <w:rPr>
          <w:rFonts w:ascii="Times New Roman" w:eastAsia="宋体" w:hAnsi="Times New Roman" w:cs="Times New Roman" w:hint="eastAsia"/>
          <w:sz w:val="18"/>
          <w:szCs w:val="18"/>
        </w:rPr>
        <w:t>应收</w:t>
      </w:r>
      <w:r w:rsidRPr="00F45AED">
        <w:rPr>
          <w:rFonts w:ascii="Times New Roman" w:eastAsia="宋体" w:hAnsi="Times New Roman" w:cs="Times New Roman" w:hint="eastAsia"/>
          <w:sz w:val="18"/>
          <w:szCs w:val="18"/>
        </w:rPr>
        <w:t>债权转让款坏账计提的会计政策，并评估其合理性；</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2</w:t>
      </w:r>
      <w:r w:rsidRPr="00F45AED">
        <w:rPr>
          <w:rFonts w:ascii="Times New Roman" w:eastAsia="宋体" w:hAnsi="Times New Roman" w:cs="Times New Roman" w:hint="eastAsia"/>
          <w:sz w:val="18"/>
          <w:szCs w:val="18"/>
        </w:rPr>
        <w:t>）获取了晨鸣纸业公司的减值测算表，判断公司估计的预期收取现金流是否合理；</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3</w:t>
      </w:r>
      <w:r w:rsidRPr="00F45AED">
        <w:rPr>
          <w:rFonts w:ascii="Times New Roman" w:eastAsia="宋体" w:hAnsi="Times New Roman" w:cs="Times New Roman" w:hint="eastAsia"/>
          <w:sz w:val="18"/>
          <w:szCs w:val="18"/>
        </w:rPr>
        <w:t>）对应收款项的抵押、担保情况进行检查，判断公司坏账计提是否充分；</w:t>
      </w:r>
    </w:p>
    <w:p w:rsidR="00553285" w:rsidRPr="00F45AED"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4</w:t>
      </w:r>
      <w:r w:rsidRPr="00F45AED">
        <w:rPr>
          <w:rFonts w:ascii="Times New Roman" w:eastAsia="宋体" w:hAnsi="Times New Roman" w:cs="Times New Roman" w:hint="eastAsia"/>
          <w:sz w:val="18"/>
          <w:szCs w:val="18"/>
        </w:rPr>
        <w:t>）向应收租赁款、应收</w:t>
      </w:r>
      <w:proofErr w:type="gramStart"/>
      <w:r w:rsidRPr="00F45AED">
        <w:rPr>
          <w:rFonts w:ascii="Times New Roman" w:eastAsia="宋体" w:hAnsi="Times New Roman" w:cs="Times New Roman" w:hint="eastAsia"/>
          <w:sz w:val="18"/>
          <w:szCs w:val="18"/>
        </w:rPr>
        <w:t>保理款</w:t>
      </w:r>
      <w:proofErr w:type="gramEnd"/>
      <w:r w:rsidRPr="00F45AED">
        <w:rPr>
          <w:rFonts w:ascii="Times New Roman" w:eastAsia="宋体" w:hAnsi="Times New Roman" w:cs="Times New Roman" w:hint="eastAsia"/>
          <w:sz w:val="18"/>
          <w:szCs w:val="18"/>
        </w:rPr>
        <w:t>和应收债权转款款的客户进行了函证；</w:t>
      </w:r>
    </w:p>
    <w:p w:rsidR="00553285" w:rsidRPr="00553285" w:rsidRDefault="00553285" w:rsidP="00F45AED">
      <w:pPr>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5</w:t>
      </w:r>
      <w:r w:rsidRPr="00F45AED">
        <w:rPr>
          <w:rFonts w:ascii="Times New Roman" w:eastAsia="宋体" w:hAnsi="Times New Roman" w:cs="Times New Roman" w:hint="eastAsia"/>
          <w:sz w:val="18"/>
          <w:szCs w:val="18"/>
        </w:rPr>
        <w:t>）选取了主要客户进行访谈或走访，了解和判断客户的还款能力。</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sidR="00553285">
        <w:rPr>
          <w:rFonts w:ascii="Times New Roman" w:eastAsia="宋体" w:hAnsi="Times New Roman" w:cs="Times New Roman" w:hint="eastAsia"/>
          <w:sz w:val="18"/>
          <w:szCs w:val="18"/>
        </w:rPr>
        <w:t>二</w:t>
      </w:r>
      <w:r>
        <w:rPr>
          <w:rFonts w:ascii="Times New Roman" w:eastAsia="宋体" w:hAnsi="Times New Roman" w:cs="Times New Roman" w:hint="eastAsia"/>
          <w:sz w:val="18"/>
          <w:szCs w:val="18"/>
        </w:rPr>
        <w:t>）机器设备的减值测试</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相关信息披露详见财务报表附注三、</w:t>
      </w:r>
      <w:r>
        <w:rPr>
          <w:rFonts w:ascii="Times New Roman" w:eastAsia="宋体" w:hAnsi="Times New Roman" w:cs="Times New Roman" w:hint="eastAsia"/>
          <w:sz w:val="18"/>
          <w:szCs w:val="18"/>
        </w:rPr>
        <w:t>1</w:t>
      </w:r>
      <w:r>
        <w:rPr>
          <w:rFonts w:ascii="Times New Roman" w:eastAsia="宋体" w:hAnsi="Times New Roman" w:cs="Times New Roman"/>
          <w:sz w:val="18"/>
          <w:szCs w:val="18"/>
        </w:rPr>
        <w:t>6</w:t>
      </w:r>
      <w:r>
        <w:rPr>
          <w:rFonts w:ascii="Times New Roman" w:eastAsia="宋体" w:hAnsi="Times New Roman" w:cs="Times New Roman" w:hint="eastAsia"/>
          <w:sz w:val="18"/>
          <w:szCs w:val="18"/>
        </w:rPr>
        <w:t>和</w:t>
      </w:r>
      <w:r>
        <w:rPr>
          <w:rFonts w:ascii="Times New Roman" w:eastAsia="宋体" w:hAnsi="Times New Roman" w:cs="Times New Roman" w:hint="eastAsia"/>
          <w:sz w:val="18"/>
          <w:szCs w:val="18"/>
        </w:rPr>
        <w:t>2</w:t>
      </w:r>
      <w:r>
        <w:rPr>
          <w:rFonts w:ascii="Times New Roman" w:eastAsia="宋体" w:hAnsi="Times New Roman" w:cs="Times New Roman"/>
          <w:sz w:val="18"/>
          <w:szCs w:val="18"/>
        </w:rPr>
        <w:t>3</w:t>
      </w:r>
      <w:r>
        <w:rPr>
          <w:rFonts w:ascii="Times New Roman" w:eastAsia="宋体" w:hAnsi="Times New Roman" w:cs="Times New Roman" w:hint="eastAsia"/>
          <w:sz w:val="18"/>
          <w:szCs w:val="18"/>
        </w:rPr>
        <w:t>、附注五、</w:t>
      </w:r>
      <w:r>
        <w:rPr>
          <w:rFonts w:ascii="Times New Roman" w:eastAsia="宋体" w:hAnsi="Times New Roman" w:cs="Times New Roman" w:hint="eastAsia"/>
          <w:sz w:val="18"/>
          <w:szCs w:val="18"/>
        </w:rPr>
        <w:t>1</w:t>
      </w:r>
      <w:r>
        <w:rPr>
          <w:rFonts w:ascii="Times New Roman" w:eastAsia="宋体" w:hAnsi="Times New Roman" w:cs="Times New Roman"/>
          <w:sz w:val="18"/>
          <w:szCs w:val="18"/>
        </w:rPr>
        <w:t>5</w:t>
      </w:r>
      <w:r>
        <w:rPr>
          <w:rFonts w:ascii="Times New Roman" w:eastAsia="宋体" w:hAnsi="Times New Roman" w:cs="Times New Roman" w:hint="eastAsia"/>
          <w:sz w:val="18"/>
          <w:szCs w:val="18"/>
        </w:rPr>
        <w:t>和</w:t>
      </w:r>
      <w:r>
        <w:rPr>
          <w:rFonts w:ascii="Times New Roman" w:eastAsia="宋体" w:hAnsi="Times New Roman" w:cs="Times New Roman" w:hint="eastAsia"/>
          <w:sz w:val="18"/>
          <w:szCs w:val="18"/>
        </w:rPr>
        <w:t>5</w:t>
      </w:r>
      <w:r>
        <w:rPr>
          <w:rFonts w:ascii="Times New Roman" w:eastAsia="宋体" w:hAnsi="Times New Roman" w:cs="Times New Roman"/>
          <w:sz w:val="18"/>
          <w:szCs w:val="18"/>
        </w:rPr>
        <w:t>8</w:t>
      </w:r>
      <w:r>
        <w:rPr>
          <w:rFonts w:ascii="Times New Roman" w:eastAsia="宋体" w:hAnsi="Times New Roman" w:cs="Times New Roman" w:hint="eastAsia"/>
          <w:sz w:val="18"/>
          <w:szCs w:val="18"/>
        </w:rPr>
        <w:t>。</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hint="eastAsia"/>
          <w:sz w:val="18"/>
          <w:szCs w:val="18"/>
        </w:rPr>
        <w:t>、事项描述</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截至</w:t>
      </w:r>
      <w:r>
        <w:rPr>
          <w:rFonts w:ascii="Times New Roman" w:eastAsia="宋体" w:hAnsi="Times New Roman" w:cs="Times New Roman" w:hint="eastAsia"/>
          <w:sz w:val="18"/>
          <w:szCs w:val="18"/>
        </w:rPr>
        <w:t>2</w:t>
      </w:r>
      <w:r>
        <w:rPr>
          <w:rFonts w:ascii="Times New Roman" w:eastAsia="宋体" w:hAnsi="Times New Roman" w:cs="Times New Roman"/>
          <w:sz w:val="18"/>
          <w:szCs w:val="18"/>
        </w:rPr>
        <w:t>024</w:t>
      </w:r>
      <w:r>
        <w:rPr>
          <w:rFonts w:ascii="Times New Roman" w:eastAsia="宋体" w:hAnsi="Times New Roman" w:cs="Times New Roman" w:hint="eastAsia"/>
          <w:sz w:val="18"/>
          <w:szCs w:val="18"/>
        </w:rPr>
        <w:t>年</w:t>
      </w:r>
      <w:r>
        <w:rPr>
          <w:rFonts w:ascii="Times New Roman" w:eastAsia="宋体" w:hAnsi="Times New Roman" w:cs="Times New Roman" w:hint="eastAsia"/>
          <w:sz w:val="18"/>
          <w:szCs w:val="18"/>
        </w:rPr>
        <w:t>1</w:t>
      </w:r>
      <w:r>
        <w:rPr>
          <w:rFonts w:ascii="Times New Roman" w:eastAsia="宋体" w:hAnsi="Times New Roman" w:cs="Times New Roman"/>
          <w:sz w:val="18"/>
          <w:szCs w:val="18"/>
        </w:rPr>
        <w:t>2</w:t>
      </w:r>
      <w:r>
        <w:rPr>
          <w:rFonts w:ascii="Times New Roman" w:eastAsia="宋体" w:hAnsi="Times New Roman" w:cs="Times New Roman" w:hint="eastAsia"/>
          <w:sz w:val="18"/>
          <w:szCs w:val="18"/>
        </w:rPr>
        <w:t>月</w:t>
      </w:r>
      <w:r>
        <w:rPr>
          <w:rFonts w:ascii="Times New Roman" w:eastAsia="宋体" w:hAnsi="Times New Roman" w:cs="Times New Roman" w:hint="eastAsia"/>
          <w:sz w:val="18"/>
          <w:szCs w:val="18"/>
        </w:rPr>
        <w:t>3</w:t>
      </w:r>
      <w:r>
        <w:rPr>
          <w:rFonts w:ascii="Times New Roman" w:eastAsia="宋体" w:hAnsi="Times New Roman" w:cs="Times New Roman"/>
          <w:sz w:val="18"/>
          <w:szCs w:val="18"/>
        </w:rPr>
        <w:t>1</w:t>
      </w:r>
      <w:r>
        <w:rPr>
          <w:rFonts w:ascii="Times New Roman" w:eastAsia="宋体" w:hAnsi="Times New Roman" w:cs="Times New Roman" w:hint="eastAsia"/>
          <w:sz w:val="18"/>
          <w:szCs w:val="18"/>
        </w:rPr>
        <w:t>日，晨鸣纸业公司机器设备账面原值</w:t>
      </w:r>
      <w:r>
        <w:rPr>
          <w:rFonts w:ascii="Times New Roman" w:eastAsia="宋体" w:hAnsi="Times New Roman" w:cs="Times New Roman"/>
          <w:sz w:val="18"/>
          <w:szCs w:val="18"/>
        </w:rPr>
        <w:t>4,372,432.52</w:t>
      </w:r>
      <w:r>
        <w:rPr>
          <w:rFonts w:ascii="Times New Roman" w:eastAsia="宋体" w:hAnsi="Times New Roman" w:cs="Times New Roman" w:hint="eastAsia"/>
          <w:sz w:val="18"/>
          <w:szCs w:val="18"/>
        </w:rPr>
        <w:t>万元，已计提的固定资产减值准备为</w:t>
      </w:r>
      <w:r>
        <w:rPr>
          <w:rFonts w:ascii="Times New Roman" w:eastAsia="宋体" w:hAnsi="Times New Roman" w:cs="Times New Roman"/>
          <w:sz w:val="18"/>
          <w:szCs w:val="18"/>
        </w:rPr>
        <w:t>19,269.10</w:t>
      </w:r>
      <w:r>
        <w:rPr>
          <w:rFonts w:ascii="Times New Roman" w:eastAsia="宋体" w:hAnsi="Times New Roman" w:cs="Times New Roman" w:hint="eastAsia"/>
          <w:sz w:val="18"/>
          <w:szCs w:val="18"/>
        </w:rPr>
        <w:t>万元。晨鸣纸业公司</w:t>
      </w:r>
      <w:r>
        <w:rPr>
          <w:rFonts w:ascii="Times New Roman" w:eastAsia="宋体" w:hAnsi="Times New Roman" w:cs="Times New Roman" w:hint="eastAsia"/>
          <w:sz w:val="18"/>
          <w:szCs w:val="18"/>
        </w:rPr>
        <w:t>2</w:t>
      </w:r>
      <w:r>
        <w:rPr>
          <w:rFonts w:ascii="Times New Roman" w:eastAsia="宋体" w:hAnsi="Times New Roman" w:cs="Times New Roman"/>
          <w:sz w:val="18"/>
          <w:szCs w:val="18"/>
        </w:rPr>
        <w:t>024</w:t>
      </w:r>
      <w:r>
        <w:rPr>
          <w:rFonts w:ascii="Times New Roman" w:eastAsia="宋体" w:hAnsi="Times New Roman" w:cs="Times New Roman" w:hint="eastAsia"/>
          <w:sz w:val="18"/>
          <w:szCs w:val="18"/>
        </w:rPr>
        <w:t>年由于资金流动性问题，部分生产线停工停产，与机制纸相关的机器设备由于长时间未开机可能发生减值损失。</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由于机器设备账面金额重大且减值测试涉及晨鸣纸业管理层（以下简称管理层）的重大会计估计和判断，因此我们将机器设备的减值测试识别为关键审计事项。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hint="eastAsia"/>
          <w:sz w:val="18"/>
          <w:szCs w:val="18"/>
        </w:rPr>
        <w:t>、审计应对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1</w:t>
      </w:r>
      <w:r>
        <w:rPr>
          <w:rFonts w:ascii="Times New Roman" w:eastAsia="宋体" w:hAnsi="Times New Roman" w:cs="Times New Roman" w:hint="eastAsia"/>
          <w:sz w:val="18"/>
          <w:szCs w:val="18"/>
        </w:rPr>
        <w:t>）了解、评价并测试了晨鸣纸业公司与固定资产减值有关的内部控制设计和运行的有效性；</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2</w:t>
      </w:r>
      <w:r>
        <w:rPr>
          <w:rFonts w:ascii="Times New Roman" w:eastAsia="宋体" w:hAnsi="Times New Roman" w:cs="Times New Roman" w:hint="eastAsia"/>
          <w:sz w:val="18"/>
          <w:szCs w:val="18"/>
        </w:rPr>
        <w:t>）评价晨鸣纸业公司固定资产计提减值的会计政策和会计估计是否符合企业会计准则及行业惯例；</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3</w:t>
      </w:r>
      <w:r>
        <w:rPr>
          <w:rFonts w:ascii="Times New Roman" w:eastAsia="宋体" w:hAnsi="Times New Roman" w:cs="Times New Roman" w:hint="eastAsia"/>
          <w:sz w:val="18"/>
          <w:szCs w:val="18"/>
        </w:rPr>
        <w:t>）对固定资产</w:t>
      </w:r>
      <w:proofErr w:type="gramStart"/>
      <w:r>
        <w:rPr>
          <w:rFonts w:ascii="Times New Roman" w:eastAsia="宋体" w:hAnsi="Times New Roman" w:cs="Times New Roman" w:hint="eastAsia"/>
          <w:sz w:val="18"/>
          <w:szCs w:val="18"/>
        </w:rPr>
        <w:t>执行监盘程序</w:t>
      </w:r>
      <w:proofErr w:type="gramEnd"/>
      <w:r>
        <w:rPr>
          <w:rFonts w:ascii="Times New Roman" w:eastAsia="宋体" w:hAnsi="Times New Roman" w:cs="Times New Roman" w:hint="eastAsia"/>
          <w:sz w:val="18"/>
          <w:szCs w:val="18"/>
        </w:rPr>
        <w:t>并观察机器设备的状况；</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4</w:t>
      </w:r>
      <w:r>
        <w:rPr>
          <w:rFonts w:ascii="Times New Roman" w:eastAsia="宋体" w:hAnsi="Times New Roman" w:cs="Times New Roman" w:hint="eastAsia"/>
          <w:sz w:val="18"/>
          <w:szCs w:val="18"/>
        </w:rPr>
        <w:t>）了解晨鸣纸业公司的复工复产计划，获取机器设备的减值测算表，结合设备的合理使用年限、产能、产品预计销售价格和毛利率等情况判断管理层确定可变现净值时做出的重大估计的合理性，并执行了重新计算。</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sidR="00553285">
        <w:rPr>
          <w:rFonts w:ascii="Times New Roman" w:eastAsia="宋体" w:hAnsi="Times New Roman" w:cs="Times New Roman" w:hint="eastAsia"/>
          <w:sz w:val="18"/>
          <w:szCs w:val="18"/>
        </w:rPr>
        <w:t>三</w:t>
      </w:r>
      <w:r>
        <w:rPr>
          <w:rFonts w:ascii="Times New Roman" w:eastAsia="宋体" w:hAnsi="Times New Roman" w:cs="Times New Roman" w:hint="eastAsia"/>
          <w:sz w:val="18"/>
          <w:szCs w:val="18"/>
        </w:rPr>
        <w:t>）机制纸收入确认</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相关信息披露详见财务报表附注三、</w:t>
      </w:r>
      <w:r>
        <w:rPr>
          <w:rFonts w:ascii="Times New Roman" w:eastAsia="宋体" w:hAnsi="Times New Roman" w:cs="Times New Roman" w:hint="eastAsia"/>
          <w:sz w:val="18"/>
          <w:szCs w:val="18"/>
        </w:rPr>
        <w:t>2</w:t>
      </w:r>
      <w:r>
        <w:rPr>
          <w:rFonts w:ascii="Times New Roman" w:eastAsia="宋体" w:hAnsi="Times New Roman" w:cs="Times New Roman"/>
          <w:sz w:val="18"/>
          <w:szCs w:val="18"/>
        </w:rPr>
        <w:t>7</w:t>
      </w:r>
      <w:r>
        <w:rPr>
          <w:rFonts w:ascii="Times New Roman" w:eastAsia="宋体" w:hAnsi="Times New Roman" w:cs="Times New Roman" w:hint="eastAsia"/>
          <w:sz w:val="18"/>
          <w:szCs w:val="18"/>
        </w:rPr>
        <w:t>和附注五、</w:t>
      </w:r>
      <w:r>
        <w:rPr>
          <w:rFonts w:ascii="Times New Roman" w:eastAsia="宋体" w:hAnsi="Times New Roman" w:cs="Times New Roman" w:hint="eastAsia"/>
          <w:sz w:val="18"/>
          <w:szCs w:val="18"/>
        </w:rPr>
        <w:t>4</w:t>
      </w:r>
      <w:r>
        <w:rPr>
          <w:rFonts w:ascii="Times New Roman" w:eastAsia="宋体" w:hAnsi="Times New Roman" w:cs="Times New Roman"/>
          <w:sz w:val="18"/>
          <w:szCs w:val="18"/>
        </w:rPr>
        <w:t>8</w:t>
      </w:r>
      <w:r>
        <w:rPr>
          <w:rFonts w:ascii="Times New Roman" w:eastAsia="宋体" w:hAnsi="Times New Roman" w:cs="Times New Roman" w:hint="eastAsia"/>
          <w:sz w:val="18"/>
          <w:szCs w:val="18"/>
        </w:rPr>
        <w:t>。</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hint="eastAsia"/>
          <w:sz w:val="18"/>
          <w:szCs w:val="18"/>
        </w:rPr>
        <w:t>、事项描述</w:t>
      </w:r>
    </w:p>
    <w:p w:rsidR="00403CD6" w:rsidRDefault="00E91A59">
      <w:pPr>
        <w:ind w:firstLineChars="200" w:firstLine="360"/>
        <w:rPr>
          <w:rFonts w:ascii="Times New Roman" w:eastAsia="宋体" w:hAnsi="Times New Roman" w:cs="Times New Roman"/>
          <w:sz w:val="18"/>
          <w:szCs w:val="18"/>
        </w:rPr>
      </w:pPr>
      <w:bookmarkStart w:id="3" w:name="_Hlk95762635"/>
      <w:r>
        <w:rPr>
          <w:rFonts w:ascii="Times New Roman" w:eastAsia="宋体" w:hAnsi="Times New Roman" w:cs="Times New Roman" w:hint="eastAsia"/>
          <w:sz w:val="18"/>
          <w:szCs w:val="18"/>
        </w:rPr>
        <w:t>晨鸣纸业公司于</w:t>
      </w:r>
      <w:r>
        <w:rPr>
          <w:rFonts w:ascii="Times New Roman" w:eastAsia="宋体" w:hAnsi="Times New Roman" w:cs="Times New Roman"/>
          <w:sz w:val="18"/>
          <w:szCs w:val="18"/>
        </w:rPr>
        <w:t>2024</w:t>
      </w:r>
      <w:r>
        <w:rPr>
          <w:rFonts w:ascii="Times New Roman" w:eastAsia="宋体" w:hAnsi="Times New Roman" w:cs="Times New Roman" w:hint="eastAsia"/>
          <w:sz w:val="18"/>
          <w:szCs w:val="18"/>
        </w:rPr>
        <w:t>年度实现营业收入</w:t>
      </w:r>
      <w:r>
        <w:rPr>
          <w:rFonts w:ascii="Times New Roman" w:eastAsia="宋体" w:hAnsi="Times New Roman" w:cs="Times New Roman"/>
          <w:sz w:val="18"/>
          <w:szCs w:val="18"/>
        </w:rPr>
        <w:t>2,272,947.49</w:t>
      </w:r>
      <w:r>
        <w:rPr>
          <w:rFonts w:ascii="Times New Roman" w:eastAsia="宋体" w:hAnsi="Times New Roman" w:cs="Times New Roman" w:hint="eastAsia"/>
          <w:sz w:val="18"/>
          <w:szCs w:val="18"/>
        </w:rPr>
        <w:t>万元，其中机制纸收入</w:t>
      </w:r>
      <w:r>
        <w:rPr>
          <w:rFonts w:ascii="Times New Roman" w:eastAsia="宋体" w:hAnsi="Times New Roman" w:cs="Times New Roman"/>
          <w:sz w:val="18"/>
          <w:szCs w:val="18"/>
        </w:rPr>
        <w:t>2,169,911.06</w:t>
      </w:r>
      <w:r>
        <w:rPr>
          <w:rFonts w:ascii="Times New Roman" w:eastAsia="宋体" w:hAnsi="Times New Roman" w:cs="Times New Roman" w:hint="eastAsia"/>
          <w:sz w:val="18"/>
          <w:szCs w:val="18"/>
        </w:rPr>
        <w:t>万元，占营业收入的比例为</w:t>
      </w:r>
      <w:r>
        <w:rPr>
          <w:rFonts w:ascii="Times New Roman" w:eastAsia="宋体" w:hAnsi="Times New Roman" w:cs="Times New Roman"/>
          <w:sz w:val="18"/>
          <w:szCs w:val="18"/>
        </w:rPr>
        <w:t>95.47%</w:t>
      </w:r>
      <w:r>
        <w:rPr>
          <w:rFonts w:ascii="Times New Roman" w:eastAsia="宋体" w:hAnsi="Times New Roman" w:cs="Times New Roman" w:hint="eastAsia"/>
          <w:sz w:val="18"/>
          <w:szCs w:val="18"/>
        </w:rPr>
        <w:t>。对于国内机制纸销售业务，晨鸣纸业公司在货物已交付并经客户签收的当天确认收入；对于国外机制纸销售业务，晨鸣纸业公司在将货物装船并报关的当天确认收入。</w:t>
      </w:r>
    </w:p>
    <w:bookmarkEnd w:id="3"/>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由于收入是晨鸣纸业公司的关键业绩指标之一，且机制纸销售量巨大，其销售收入在营业收入总额中占比非常高，收入是否在恰当的财务报表期间确认入账可能存在潜在错报且对财务报表具有重大影响，因此我们将机制纸销售收入的确认作为关键审计事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hint="eastAsia"/>
          <w:sz w:val="18"/>
          <w:szCs w:val="18"/>
        </w:rPr>
        <w:t>、审计应对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1</w:t>
      </w:r>
      <w:r>
        <w:rPr>
          <w:rFonts w:ascii="Times New Roman" w:eastAsia="宋体" w:hAnsi="Times New Roman" w:cs="Times New Roman" w:hint="eastAsia"/>
          <w:sz w:val="18"/>
          <w:szCs w:val="18"/>
        </w:rPr>
        <w:t>）了解、评价并测试了晨鸣纸业公司与机制纸销售业务相关的内部控制设计和运行的有效性；</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2</w:t>
      </w:r>
      <w:r>
        <w:rPr>
          <w:rFonts w:ascii="Times New Roman" w:eastAsia="宋体" w:hAnsi="Times New Roman" w:cs="Times New Roman" w:hint="eastAsia"/>
          <w:sz w:val="18"/>
          <w:szCs w:val="18"/>
        </w:rPr>
        <w:t>）选取样本检查了销售合同，识别与商品控制权转移相关的合同条款与条件，评价晨鸣纸业公司的销售收入确认时点是否符合企业会计准则的要求；</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3</w:t>
      </w:r>
      <w:r>
        <w:rPr>
          <w:rFonts w:ascii="Times New Roman" w:eastAsia="宋体" w:hAnsi="Times New Roman" w:cs="Times New Roman" w:hint="eastAsia"/>
          <w:sz w:val="18"/>
          <w:szCs w:val="18"/>
        </w:rPr>
        <w:t>）结合产品类型对销售收入以及毛利率情况进行了分析，判断本期收入金额及其波动的是否合理；</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4</w:t>
      </w:r>
      <w:r>
        <w:rPr>
          <w:rFonts w:ascii="Times New Roman" w:eastAsia="宋体" w:hAnsi="Times New Roman" w:cs="Times New Roman" w:hint="eastAsia"/>
          <w:sz w:val="18"/>
          <w:szCs w:val="18"/>
        </w:rPr>
        <w:t>）检查期末是否存在突击确认销售收入的情况，并通过检查期后退货情况，判断本期收入确认的准确性；</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sz w:val="18"/>
          <w:szCs w:val="18"/>
        </w:rPr>
        <w:t>5</w:t>
      </w:r>
      <w:r>
        <w:rPr>
          <w:rFonts w:ascii="Times New Roman" w:eastAsia="宋体" w:hAnsi="Times New Roman" w:cs="Times New Roman" w:hint="eastAsia"/>
          <w:sz w:val="18"/>
          <w:szCs w:val="18"/>
        </w:rPr>
        <w:t>）对临近资产负债表日前</w:t>
      </w:r>
      <w:proofErr w:type="gramStart"/>
      <w:r>
        <w:rPr>
          <w:rFonts w:ascii="Times New Roman" w:eastAsia="宋体" w:hAnsi="Times New Roman" w:cs="Times New Roman" w:hint="eastAsia"/>
          <w:sz w:val="18"/>
          <w:szCs w:val="18"/>
        </w:rPr>
        <w:t>后记录</w:t>
      </w:r>
      <w:proofErr w:type="gramEnd"/>
      <w:r>
        <w:rPr>
          <w:rFonts w:ascii="Times New Roman" w:eastAsia="宋体" w:hAnsi="Times New Roman" w:cs="Times New Roman" w:hint="eastAsia"/>
          <w:sz w:val="18"/>
          <w:szCs w:val="18"/>
        </w:rPr>
        <w:t>的销售收入，选取样本执进行了截止性测试，核对出库单及其他支持性文件，以评价销售收入是否被记录于恰当的会计期间；</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6</w:t>
      </w:r>
      <w:r>
        <w:rPr>
          <w:rFonts w:ascii="Times New Roman" w:eastAsia="宋体" w:hAnsi="Times New Roman" w:cs="Times New Roman" w:hint="eastAsia"/>
          <w:sz w:val="18"/>
          <w:szCs w:val="18"/>
        </w:rPr>
        <w:t>）对本期销售金额较大的客户</w:t>
      </w:r>
      <w:proofErr w:type="gramStart"/>
      <w:r>
        <w:rPr>
          <w:rFonts w:ascii="Times New Roman" w:eastAsia="宋体" w:hAnsi="Times New Roman" w:cs="Times New Roman" w:hint="eastAsia"/>
          <w:sz w:val="18"/>
          <w:szCs w:val="18"/>
        </w:rPr>
        <w:t>执行函证程序</w:t>
      </w:r>
      <w:proofErr w:type="gramEnd"/>
      <w:r>
        <w:rPr>
          <w:rFonts w:ascii="Times New Roman" w:eastAsia="宋体" w:hAnsi="Times New Roman" w:cs="Times New Roman" w:hint="eastAsia"/>
          <w:sz w:val="18"/>
          <w:szCs w:val="18"/>
        </w:rPr>
        <w:t>。</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四、其他信息</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晨鸣纸业公司管理层对其他信息负责。其他信息包括晨鸣纸业公司</w:t>
      </w:r>
      <w:r>
        <w:rPr>
          <w:rFonts w:ascii="Times New Roman" w:eastAsia="宋体" w:hAnsi="Times New Roman" w:cs="Times New Roman"/>
          <w:sz w:val="18"/>
          <w:szCs w:val="18"/>
        </w:rPr>
        <w:t>202</w:t>
      </w:r>
      <w:r>
        <w:rPr>
          <w:rFonts w:ascii="Times New Roman" w:eastAsia="宋体" w:hAnsi="Times New Roman" w:cs="Times New Roman" w:hint="eastAsia"/>
          <w:sz w:val="18"/>
          <w:szCs w:val="18"/>
        </w:rPr>
        <w:t>4</w:t>
      </w:r>
      <w:r>
        <w:rPr>
          <w:rFonts w:ascii="Times New Roman" w:eastAsia="宋体" w:hAnsi="Times New Roman" w:cs="Times New Roman" w:hint="eastAsia"/>
          <w:sz w:val="18"/>
          <w:szCs w:val="18"/>
        </w:rPr>
        <w:t>年年度报告中涵盖的信息，但不包括财务报表和我们的审计报告。</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我们对财务报表发表的审计意见</w:t>
      </w:r>
      <w:proofErr w:type="gramStart"/>
      <w:r>
        <w:rPr>
          <w:rFonts w:ascii="Times New Roman" w:eastAsia="宋体" w:hAnsi="Times New Roman" w:cs="Times New Roman" w:hint="eastAsia"/>
          <w:sz w:val="18"/>
          <w:szCs w:val="18"/>
        </w:rPr>
        <w:t>不</w:t>
      </w:r>
      <w:proofErr w:type="gramEnd"/>
      <w:r>
        <w:rPr>
          <w:rFonts w:ascii="Times New Roman" w:eastAsia="宋体" w:hAnsi="Times New Roman" w:cs="Times New Roman" w:hint="eastAsia"/>
          <w:sz w:val="18"/>
          <w:szCs w:val="18"/>
        </w:rPr>
        <w:t>涵盖其他信息，我们也不对其他信息发表任何形式的</w:t>
      </w:r>
      <w:proofErr w:type="gramStart"/>
      <w:r>
        <w:rPr>
          <w:rFonts w:ascii="Times New Roman" w:eastAsia="宋体" w:hAnsi="Times New Roman" w:cs="Times New Roman" w:hint="eastAsia"/>
          <w:sz w:val="18"/>
          <w:szCs w:val="18"/>
        </w:rPr>
        <w:t>鉴证</w:t>
      </w:r>
      <w:proofErr w:type="gramEnd"/>
      <w:r>
        <w:rPr>
          <w:rFonts w:ascii="Times New Roman" w:eastAsia="宋体" w:hAnsi="Times New Roman" w:cs="Times New Roman" w:hint="eastAsia"/>
          <w:sz w:val="18"/>
          <w:szCs w:val="18"/>
        </w:rPr>
        <w:t>结论。</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结合我们对财务报表的审计，我们的责任是阅读其他信息，在此过程中，考虑其他信息是否与财务报表或我们在审计过程中了解到的情况存在重大不一致或者似乎存在重大错报。</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lastRenderedPageBreak/>
        <w:t>基于我们已执行的工作，如果我们确定其他信息存在重大错报，我们应当报告该事实。如上述“形成保留意见的基础”部分所述，我们</w:t>
      </w:r>
      <w:proofErr w:type="gramStart"/>
      <w:r>
        <w:rPr>
          <w:rFonts w:ascii="Times New Roman" w:eastAsia="宋体" w:hAnsi="Times New Roman" w:cs="Times New Roman" w:hint="eastAsia"/>
          <w:sz w:val="18"/>
          <w:szCs w:val="18"/>
        </w:rPr>
        <w:t>无法就晨鸣</w:t>
      </w:r>
      <w:proofErr w:type="gramEnd"/>
      <w:r>
        <w:rPr>
          <w:rFonts w:ascii="Times New Roman" w:eastAsia="宋体" w:hAnsi="Times New Roman" w:cs="Times New Roman" w:hint="eastAsia"/>
          <w:sz w:val="18"/>
          <w:szCs w:val="18"/>
        </w:rPr>
        <w:t>纸业公司消除持续经营重大不确定性的改进措施的可行性施获取充分、适当的审计证据。因此，我们无法确定与该等事项相关的其他信息是否存在重大错报。</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五、管理层和治理层对财务报表的责任</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晨鸣纸业公司管理</w:t>
      </w:r>
      <w:proofErr w:type="gramStart"/>
      <w:r>
        <w:rPr>
          <w:rFonts w:ascii="Times New Roman" w:eastAsia="宋体" w:hAnsi="Times New Roman" w:cs="Times New Roman" w:hint="eastAsia"/>
          <w:sz w:val="18"/>
          <w:szCs w:val="18"/>
        </w:rPr>
        <w:t>层负责</w:t>
      </w:r>
      <w:proofErr w:type="gramEnd"/>
      <w:r>
        <w:rPr>
          <w:rFonts w:ascii="Times New Roman" w:eastAsia="宋体" w:hAnsi="Times New Roman" w:cs="Times New Roman" w:hint="eastAsia"/>
          <w:sz w:val="18"/>
          <w:szCs w:val="18"/>
        </w:rPr>
        <w:t>按照企业会计准则的规定编制财务报表，使其实现公允反映，并设计、执行和维护必要的内部控制，以使财务报表不存在由于舞弊或错误导致的重大错报。</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在编制财务报表时，管理</w:t>
      </w:r>
      <w:proofErr w:type="gramStart"/>
      <w:r>
        <w:rPr>
          <w:rFonts w:ascii="Times New Roman" w:eastAsia="宋体" w:hAnsi="Times New Roman" w:cs="Times New Roman" w:hint="eastAsia"/>
          <w:sz w:val="18"/>
          <w:szCs w:val="18"/>
        </w:rPr>
        <w:t>层负责</w:t>
      </w:r>
      <w:proofErr w:type="gramEnd"/>
      <w:r>
        <w:rPr>
          <w:rFonts w:ascii="Times New Roman" w:eastAsia="宋体" w:hAnsi="Times New Roman" w:cs="Times New Roman" w:hint="eastAsia"/>
          <w:sz w:val="18"/>
          <w:szCs w:val="18"/>
        </w:rPr>
        <w:t>评估晨鸣纸业公司的持续经营能力，披露与持续经营相关的事项（如适用），并运用持续经营假设，除非管理</w:t>
      </w:r>
      <w:proofErr w:type="gramStart"/>
      <w:r>
        <w:rPr>
          <w:rFonts w:ascii="Times New Roman" w:eastAsia="宋体" w:hAnsi="Times New Roman" w:cs="Times New Roman" w:hint="eastAsia"/>
          <w:sz w:val="18"/>
          <w:szCs w:val="18"/>
        </w:rPr>
        <w:t>层计划</w:t>
      </w:r>
      <w:proofErr w:type="gramEnd"/>
      <w:r>
        <w:rPr>
          <w:rFonts w:ascii="Times New Roman" w:eastAsia="宋体" w:hAnsi="Times New Roman" w:cs="Times New Roman" w:hint="eastAsia"/>
          <w:sz w:val="18"/>
          <w:szCs w:val="18"/>
        </w:rPr>
        <w:t>清算晨鸣纸业公司、终止运营或别无其他现实的选择。</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治理</w:t>
      </w:r>
      <w:proofErr w:type="gramStart"/>
      <w:r>
        <w:rPr>
          <w:rFonts w:ascii="Times New Roman" w:eastAsia="宋体" w:hAnsi="Times New Roman" w:cs="Times New Roman" w:hint="eastAsia"/>
          <w:sz w:val="18"/>
          <w:szCs w:val="18"/>
        </w:rPr>
        <w:t>层负责</w:t>
      </w:r>
      <w:proofErr w:type="gramEnd"/>
      <w:r>
        <w:rPr>
          <w:rFonts w:ascii="Times New Roman" w:eastAsia="宋体" w:hAnsi="Times New Roman" w:cs="Times New Roman" w:hint="eastAsia"/>
          <w:sz w:val="18"/>
          <w:szCs w:val="18"/>
        </w:rPr>
        <w:t>监督晨鸣纸业公司的财务报告过程。</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六、注册会计师对财务报表审计的责任</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我们的目标是对财务报表整体是否不存在由于舞弊或错误导致的重大错报获取合理保证，并出具包含审计意见的审计报告。合理保证是高水平的保证，但并不能保证按照审计准则执行的审计在某一重大错</w:t>
      </w:r>
      <w:proofErr w:type="gramStart"/>
      <w:r>
        <w:rPr>
          <w:rFonts w:ascii="Times New Roman" w:eastAsia="宋体" w:hAnsi="Times New Roman" w:cs="Times New Roman" w:hint="eastAsia"/>
          <w:sz w:val="18"/>
          <w:szCs w:val="18"/>
        </w:rPr>
        <w:t>报存在</w:t>
      </w:r>
      <w:proofErr w:type="gramEnd"/>
      <w:r>
        <w:rPr>
          <w:rFonts w:ascii="Times New Roman" w:eastAsia="宋体" w:hAnsi="Times New Roman" w:cs="Times New Roman" w:hint="eastAsia"/>
          <w:sz w:val="18"/>
          <w:szCs w:val="18"/>
        </w:rPr>
        <w:t>时总能发现。错报可能由于舞弊或错误导致，如果合理预期错报单独或汇总起来可能影响财务报表使用者依据财务报表</w:t>
      </w:r>
      <w:proofErr w:type="gramStart"/>
      <w:r>
        <w:rPr>
          <w:rFonts w:ascii="Times New Roman" w:eastAsia="宋体" w:hAnsi="Times New Roman" w:cs="Times New Roman" w:hint="eastAsia"/>
          <w:sz w:val="18"/>
          <w:szCs w:val="18"/>
        </w:rPr>
        <w:t>作出</w:t>
      </w:r>
      <w:proofErr w:type="gramEnd"/>
      <w:r>
        <w:rPr>
          <w:rFonts w:ascii="Times New Roman" w:eastAsia="宋体" w:hAnsi="Times New Roman" w:cs="Times New Roman" w:hint="eastAsia"/>
          <w:sz w:val="18"/>
          <w:szCs w:val="18"/>
        </w:rPr>
        <w:t>的经济决策，则通常认为错报是重大的。</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在按照审计准则执行审计工作的过程中，我们运用职业判断，并保持职业怀疑。同时，我们也执行以下工作：</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1</w:t>
      </w:r>
      <w:r>
        <w:rPr>
          <w:rFonts w:ascii="Times New Roman" w:eastAsia="宋体" w:hAnsi="Times New Roman" w:cs="Times New Roman" w:hint="eastAsia"/>
          <w:sz w:val="18"/>
          <w:szCs w:val="18"/>
        </w:rPr>
        <w:t>）识别和评估由于舞弊或错误导致的财务报表重大错报风险，设计和实施审计程序以应对这些风险，并获取充分、适当的审计证据，作为发表审计意见的基础。由于舞弊可能涉及串通、伪造、故意遗漏、虚假陈述或凌驾于内部控制之上，未能发现由于舞弊导致的重大错报的风险高于未能发现由于错误导致的重大错报的风险。</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2</w:t>
      </w:r>
      <w:r>
        <w:rPr>
          <w:rFonts w:ascii="Times New Roman" w:eastAsia="宋体" w:hAnsi="Times New Roman" w:cs="Times New Roman" w:hint="eastAsia"/>
          <w:sz w:val="18"/>
          <w:szCs w:val="18"/>
        </w:rPr>
        <w:t>）了解与审计相关的内部控制，以设计恰当的审计程序。</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3</w:t>
      </w:r>
      <w:r>
        <w:rPr>
          <w:rFonts w:ascii="Times New Roman" w:eastAsia="宋体" w:hAnsi="Times New Roman" w:cs="Times New Roman" w:hint="eastAsia"/>
          <w:sz w:val="18"/>
          <w:szCs w:val="18"/>
        </w:rPr>
        <w:t>）评价管理层选用会计政策的恰当性和</w:t>
      </w:r>
      <w:proofErr w:type="gramStart"/>
      <w:r>
        <w:rPr>
          <w:rFonts w:ascii="Times New Roman" w:eastAsia="宋体" w:hAnsi="Times New Roman" w:cs="Times New Roman" w:hint="eastAsia"/>
          <w:sz w:val="18"/>
          <w:szCs w:val="18"/>
        </w:rPr>
        <w:t>作出</w:t>
      </w:r>
      <w:proofErr w:type="gramEnd"/>
      <w:r>
        <w:rPr>
          <w:rFonts w:ascii="Times New Roman" w:eastAsia="宋体" w:hAnsi="Times New Roman" w:cs="Times New Roman" w:hint="eastAsia"/>
          <w:sz w:val="18"/>
          <w:szCs w:val="18"/>
        </w:rPr>
        <w:t>会计估计及相关披露的合理性。</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4</w:t>
      </w:r>
      <w:r>
        <w:rPr>
          <w:rFonts w:ascii="Times New Roman" w:eastAsia="宋体" w:hAnsi="Times New Roman" w:cs="Times New Roman" w:hint="eastAsia"/>
          <w:sz w:val="18"/>
          <w:szCs w:val="18"/>
        </w:rPr>
        <w:t>）对管理层使用持续经营假设的恰当性得出结论。同时，根据获取的审计证据，就可能导致对晨鸣纸业公司的持续经营能力产生重大疑虑的事项或情况是否存在重大不确定性得出结论。如果我们得出结论认为存在重大不确定性，审计准则要求我们在审计报告中提请报表使用者注意财务报表中的相关披露；如果披露不充分，我们应当发表非无保留意见。我们的结论基于截至审计报告日可获得的信息。然而，未来的事项或情况可能导致晨鸣纸业公司不能持续经营。</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5</w:t>
      </w:r>
      <w:r>
        <w:rPr>
          <w:rFonts w:ascii="Times New Roman" w:eastAsia="宋体" w:hAnsi="Times New Roman" w:cs="Times New Roman" w:hint="eastAsia"/>
          <w:sz w:val="18"/>
          <w:szCs w:val="18"/>
        </w:rPr>
        <w:t>）评价财务报表的总</w:t>
      </w:r>
      <w:proofErr w:type="gramStart"/>
      <w:r>
        <w:rPr>
          <w:rFonts w:ascii="Times New Roman" w:eastAsia="宋体" w:hAnsi="Times New Roman" w:cs="Times New Roman" w:hint="eastAsia"/>
          <w:sz w:val="18"/>
          <w:szCs w:val="18"/>
        </w:rPr>
        <w:t>体列</w:t>
      </w:r>
      <w:proofErr w:type="gramEnd"/>
      <w:r>
        <w:rPr>
          <w:rFonts w:ascii="Times New Roman" w:eastAsia="宋体" w:hAnsi="Times New Roman" w:cs="Times New Roman" w:hint="eastAsia"/>
          <w:sz w:val="18"/>
          <w:szCs w:val="18"/>
        </w:rPr>
        <w:t>报、结构和内容，并评价财务报表是否公允反映相关交易和事项。</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6</w:t>
      </w:r>
      <w:r>
        <w:rPr>
          <w:rFonts w:ascii="Times New Roman" w:eastAsia="宋体" w:hAnsi="Times New Roman" w:cs="Times New Roman" w:hint="eastAsia"/>
          <w:sz w:val="18"/>
          <w:szCs w:val="18"/>
        </w:rPr>
        <w:t>）</w:t>
      </w:r>
      <w:proofErr w:type="gramStart"/>
      <w:r>
        <w:rPr>
          <w:rFonts w:ascii="Times New Roman" w:eastAsia="宋体" w:hAnsi="Times New Roman" w:cs="Times New Roman" w:hint="eastAsia"/>
          <w:sz w:val="18"/>
          <w:szCs w:val="18"/>
        </w:rPr>
        <w:t>就晨鸣</w:t>
      </w:r>
      <w:proofErr w:type="gramEnd"/>
      <w:r>
        <w:rPr>
          <w:rFonts w:ascii="Times New Roman" w:eastAsia="宋体" w:hAnsi="Times New Roman" w:cs="Times New Roman" w:hint="eastAsia"/>
          <w:sz w:val="18"/>
          <w:szCs w:val="18"/>
        </w:rPr>
        <w:t>纸业公司中实体或业务活动的财务信息获取充分、适当的审计证据，以对财务报表发表意见。我们负责指导、监督和执行集团审计，并对审计意见承担全部责任。</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我们与治理层就计划的审计范围、时间安排和重大审计发现等事项进行沟通，包括沟通我们在审计中识别出的值得关注的内部控制缺陷。</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我们还就已遵守与独立性相关的职业道德要求向治理层提供声明，并与治理层沟通可能被</w:t>
      </w:r>
      <w:proofErr w:type="gramStart"/>
      <w:r>
        <w:rPr>
          <w:rFonts w:ascii="Times New Roman" w:eastAsia="宋体" w:hAnsi="Times New Roman" w:cs="Times New Roman" w:hint="eastAsia"/>
          <w:sz w:val="18"/>
          <w:szCs w:val="18"/>
        </w:rPr>
        <w:t>合理认为</w:t>
      </w:r>
      <w:proofErr w:type="gramEnd"/>
      <w:r>
        <w:rPr>
          <w:rFonts w:ascii="Times New Roman" w:eastAsia="宋体" w:hAnsi="Times New Roman" w:cs="Times New Roman" w:hint="eastAsia"/>
          <w:sz w:val="18"/>
          <w:szCs w:val="18"/>
        </w:rPr>
        <w:t>影响我们独立性的所有关系和其他事项，以及相关的防范措施（如适用）。</w:t>
      </w:r>
    </w:p>
    <w:p w:rsidR="00403CD6" w:rsidRDefault="00E91A59" w:rsidP="008E29A1">
      <w:pPr>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从与治理层沟通过的事项中，我们确定哪些事项对本期财务报表审计最为重要，因而构成关键审计事项。我们在审计报告中描述这些事项，除非法律法规禁止公开披露这些事项，或在极少数情形下，如果合理预期在审计报告中沟通某事项造成的负面后果超过在公众利益方面产生的益处，我们确定不应在审计报告中沟通该事项。</w:t>
      </w:r>
    </w:p>
    <w:p w:rsidR="008E29A1" w:rsidRDefault="008E29A1" w:rsidP="008E29A1">
      <w:pPr>
        <w:ind w:firstLineChars="200" w:firstLine="360"/>
        <w:rPr>
          <w:rFonts w:ascii="Times New Roman" w:eastAsia="宋体" w:hAnsi="Times New Roman" w:cs="Times New Roman"/>
          <w:sz w:val="18"/>
          <w:szCs w:val="18"/>
        </w:rPr>
      </w:pPr>
    </w:p>
    <w:p w:rsidR="008E29A1" w:rsidRPr="008E29A1" w:rsidRDefault="008E29A1" w:rsidP="008E29A1">
      <w:pPr>
        <w:ind w:firstLineChars="200" w:firstLine="360"/>
        <w:rPr>
          <w:rFonts w:ascii="Times New Roman" w:eastAsia="宋体" w:hAnsi="Times New Roman" w:cs="Times New Roman"/>
          <w:sz w:val="18"/>
          <w:szCs w:val="18"/>
        </w:rPr>
      </w:pPr>
    </w:p>
    <w:tbl>
      <w:tblPr>
        <w:tblpPr w:leftFromText="181" w:rightFromText="181" w:vertAnchor="text" w:horzAnchor="margin" w:tblpXSpec="center" w:tblpYSpec="inside"/>
        <w:tblOverlap w:val="never"/>
        <w:tblW w:w="8549" w:type="dxa"/>
        <w:tblLook w:val="04A0" w:firstRow="1" w:lastRow="0" w:firstColumn="1" w:lastColumn="0" w:noHBand="0" w:noVBand="1"/>
      </w:tblPr>
      <w:tblGrid>
        <w:gridCol w:w="4077"/>
        <w:gridCol w:w="2694"/>
        <w:gridCol w:w="1778"/>
      </w:tblGrid>
      <w:tr w:rsidR="008E29A1" w:rsidTr="008E29A1">
        <w:trPr>
          <w:trHeight w:val="1305"/>
        </w:trPr>
        <w:tc>
          <w:tcPr>
            <w:tcW w:w="4077" w:type="dxa"/>
          </w:tcPr>
          <w:p w:rsidR="008E29A1" w:rsidRDefault="008E29A1" w:rsidP="008E29A1">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lastRenderedPageBreak/>
              <w:t>致同会计师事务所</w:t>
            </w:r>
            <w:r>
              <w:rPr>
                <w:rFonts w:ascii="Times New Roman" w:hAnsi="Times New Roman" w:cs="Times New Roman" w:hint="eastAsia"/>
                <w:spacing w:val="4"/>
                <w:sz w:val="18"/>
                <w:szCs w:val="18"/>
              </w:rPr>
              <w:t xml:space="preserve">             </w:t>
            </w:r>
          </w:p>
          <w:p w:rsidR="008E29A1" w:rsidRDefault="008E29A1" w:rsidP="008E29A1">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t>（特殊普通合伙）</w:t>
            </w:r>
          </w:p>
          <w:p w:rsidR="008E29A1" w:rsidRDefault="008E29A1" w:rsidP="008E29A1">
            <w:pPr>
              <w:spacing w:before="100" w:after="100" w:line="240" w:lineRule="exact"/>
              <w:rPr>
                <w:rFonts w:ascii="Times New Roman" w:hAnsi="Times New Roman" w:cs="Times New Roman"/>
                <w:spacing w:val="4"/>
                <w:sz w:val="18"/>
                <w:szCs w:val="18"/>
                <w:lang w:val="en-AU"/>
              </w:rPr>
            </w:pPr>
          </w:p>
          <w:p w:rsidR="008E29A1" w:rsidRDefault="008E29A1" w:rsidP="008E29A1">
            <w:pPr>
              <w:spacing w:before="100" w:after="100" w:line="240" w:lineRule="exact"/>
              <w:rPr>
                <w:rFonts w:ascii="Times New Roman" w:hAnsi="Times New Roman" w:cs="Times New Roman"/>
                <w:spacing w:val="4"/>
                <w:sz w:val="18"/>
                <w:szCs w:val="18"/>
              </w:rPr>
            </w:pPr>
          </w:p>
        </w:tc>
        <w:tc>
          <w:tcPr>
            <w:tcW w:w="2694" w:type="dxa"/>
          </w:tcPr>
          <w:p w:rsidR="008E29A1" w:rsidRDefault="008E29A1" w:rsidP="008E29A1">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t>中国注册会计师</w:t>
            </w:r>
            <w:r>
              <w:rPr>
                <w:rFonts w:ascii="Times New Roman" w:hAnsi="Times New Roman" w:cs="Times New Roman" w:hint="eastAsia"/>
                <w:spacing w:val="4"/>
                <w:sz w:val="18"/>
                <w:szCs w:val="18"/>
              </w:rPr>
              <w:t xml:space="preserve">        </w:t>
            </w:r>
            <w:r>
              <w:rPr>
                <w:rFonts w:ascii="Times New Roman" w:hAnsi="Times New Roman" w:cs="Times New Roman" w:hint="eastAsia"/>
                <w:spacing w:val="4"/>
                <w:sz w:val="18"/>
                <w:szCs w:val="18"/>
              </w:rPr>
              <w:t>江涛</w:t>
            </w:r>
          </w:p>
          <w:p w:rsidR="008E29A1" w:rsidRDefault="008E29A1" w:rsidP="008E29A1">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t>（项目合伙人）</w:t>
            </w:r>
          </w:p>
          <w:p w:rsidR="008E29A1" w:rsidRDefault="008E29A1" w:rsidP="008E29A1">
            <w:pPr>
              <w:spacing w:before="100" w:after="100" w:line="240" w:lineRule="exact"/>
              <w:rPr>
                <w:rFonts w:ascii="Times New Roman" w:hAnsi="Times New Roman" w:cs="Times New Roman"/>
                <w:spacing w:val="4"/>
                <w:sz w:val="18"/>
                <w:szCs w:val="18"/>
              </w:rPr>
            </w:pPr>
          </w:p>
          <w:p w:rsidR="008E29A1" w:rsidRDefault="008E29A1" w:rsidP="008E29A1">
            <w:pPr>
              <w:spacing w:before="100" w:after="100" w:line="240" w:lineRule="exact"/>
              <w:rPr>
                <w:rFonts w:ascii="Times New Roman" w:hAnsi="Times New Roman" w:cs="Times New Roman"/>
                <w:spacing w:val="4"/>
                <w:sz w:val="18"/>
                <w:szCs w:val="18"/>
                <w:lang w:val="en-AU"/>
              </w:rPr>
            </w:pPr>
          </w:p>
          <w:p w:rsidR="008E29A1" w:rsidRDefault="008E29A1" w:rsidP="008E29A1">
            <w:pPr>
              <w:spacing w:before="100" w:after="100" w:line="240" w:lineRule="exact"/>
              <w:rPr>
                <w:rFonts w:ascii="Times New Roman" w:hAnsi="Times New Roman" w:cs="Times New Roman"/>
                <w:spacing w:val="4"/>
                <w:sz w:val="18"/>
                <w:szCs w:val="18"/>
              </w:rPr>
            </w:pPr>
            <w:r>
              <w:rPr>
                <w:rFonts w:ascii="Times New Roman" w:hAnsi="Times New Roman" w:cs="Times New Roman" w:hint="eastAsia"/>
                <w:spacing w:val="4"/>
                <w:sz w:val="18"/>
                <w:szCs w:val="18"/>
              </w:rPr>
              <w:t>中国注册会计师</w:t>
            </w:r>
            <w:r>
              <w:rPr>
                <w:rFonts w:ascii="Times New Roman" w:hAnsi="Times New Roman" w:cs="Times New Roman" w:hint="eastAsia"/>
                <w:spacing w:val="4"/>
                <w:sz w:val="18"/>
                <w:szCs w:val="18"/>
              </w:rPr>
              <w:t xml:space="preserve">      </w:t>
            </w:r>
            <w:r>
              <w:rPr>
                <w:rFonts w:ascii="Times New Roman" w:hAnsi="Times New Roman" w:cs="Times New Roman" w:hint="eastAsia"/>
                <w:spacing w:val="4"/>
                <w:sz w:val="18"/>
                <w:szCs w:val="18"/>
              </w:rPr>
              <w:t>郭冬梅</w:t>
            </w:r>
          </w:p>
          <w:p w:rsidR="008E29A1" w:rsidRDefault="008E29A1" w:rsidP="008E29A1">
            <w:pPr>
              <w:spacing w:before="100" w:after="100" w:line="240" w:lineRule="exact"/>
              <w:rPr>
                <w:rFonts w:ascii="Times New Roman" w:hAnsi="Times New Roman" w:cs="Times New Roman"/>
                <w:spacing w:val="4"/>
                <w:sz w:val="18"/>
                <w:szCs w:val="18"/>
              </w:rPr>
            </w:pPr>
          </w:p>
        </w:tc>
        <w:tc>
          <w:tcPr>
            <w:tcW w:w="1778" w:type="dxa"/>
          </w:tcPr>
          <w:p w:rsidR="008E29A1" w:rsidRDefault="008E29A1" w:rsidP="008E29A1">
            <w:pPr>
              <w:spacing w:before="100" w:after="100" w:line="240" w:lineRule="exact"/>
              <w:rPr>
                <w:rFonts w:ascii="Times New Roman" w:hAnsi="Times New Roman" w:cs="Times New Roman"/>
                <w:spacing w:val="4"/>
                <w:sz w:val="18"/>
                <w:szCs w:val="18"/>
              </w:rPr>
            </w:pPr>
          </w:p>
          <w:p w:rsidR="008E29A1" w:rsidRDefault="008E29A1" w:rsidP="008E29A1">
            <w:pPr>
              <w:spacing w:before="100" w:after="100" w:line="240" w:lineRule="exact"/>
              <w:rPr>
                <w:rFonts w:ascii="Times New Roman" w:hAnsi="Times New Roman" w:cs="Times New Roman"/>
                <w:spacing w:val="4"/>
                <w:sz w:val="18"/>
                <w:szCs w:val="18"/>
              </w:rPr>
            </w:pPr>
          </w:p>
          <w:p w:rsidR="008E29A1" w:rsidRDefault="008E29A1" w:rsidP="008E29A1">
            <w:pPr>
              <w:spacing w:before="100" w:after="100" w:line="240" w:lineRule="exact"/>
              <w:rPr>
                <w:rFonts w:ascii="Times New Roman" w:hAnsi="Times New Roman" w:cs="Times New Roman"/>
                <w:spacing w:val="4"/>
                <w:sz w:val="18"/>
                <w:szCs w:val="18"/>
              </w:rPr>
            </w:pPr>
          </w:p>
          <w:p w:rsidR="008E29A1" w:rsidRDefault="008E29A1" w:rsidP="008E29A1">
            <w:pPr>
              <w:spacing w:before="100" w:after="100" w:line="240" w:lineRule="exact"/>
              <w:rPr>
                <w:rFonts w:ascii="Times New Roman" w:hAnsi="Times New Roman" w:cs="Times New Roman"/>
                <w:spacing w:val="4"/>
                <w:sz w:val="18"/>
                <w:szCs w:val="18"/>
              </w:rPr>
            </w:pPr>
          </w:p>
          <w:p w:rsidR="008E29A1" w:rsidRDefault="008E29A1" w:rsidP="008E29A1">
            <w:pPr>
              <w:spacing w:before="100" w:after="100" w:line="240" w:lineRule="exact"/>
              <w:rPr>
                <w:rFonts w:ascii="Times New Roman" w:hAnsi="Times New Roman" w:cs="Times New Roman"/>
                <w:spacing w:val="4"/>
                <w:sz w:val="18"/>
                <w:szCs w:val="18"/>
              </w:rPr>
            </w:pPr>
          </w:p>
        </w:tc>
      </w:tr>
      <w:tr w:rsidR="008E29A1" w:rsidTr="008E29A1">
        <w:trPr>
          <w:trHeight w:val="507"/>
        </w:trPr>
        <w:tc>
          <w:tcPr>
            <w:tcW w:w="4077" w:type="dxa"/>
            <w:vAlign w:val="center"/>
          </w:tcPr>
          <w:p w:rsidR="008E29A1" w:rsidRDefault="008E29A1" w:rsidP="008E29A1">
            <w:pPr>
              <w:spacing w:before="100" w:after="100" w:line="240" w:lineRule="exact"/>
              <w:jc w:val="both"/>
              <w:rPr>
                <w:rFonts w:ascii="Times New Roman" w:hAnsi="Times New Roman" w:cs="Times New Roman"/>
                <w:spacing w:val="4"/>
                <w:sz w:val="18"/>
                <w:szCs w:val="18"/>
              </w:rPr>
            </w:pPr>
            <w:r>
              <w:rPr>
                <w:rFonts w:ascii="Times New Roman" w:hAnsi="Times New Roman" w:cs="Times New Roman" w:hint="eastAsia"/>
                <w:spacing w:val="4"/>
                <w:sz w:val="18"/>
                <w:szCs w:val="18"/>
              </w:rPr>
              <w:t>中国·北京</w:t>
            </w:r>
          </w:p>
        </w:tc>
        <w:tc>
          <w:tcPr>
            <w:tcW w:w="4472" w:type="dxa"/>
            <w:gridSpan w:val="2"/>
            <w:vAlign w:val="center"/>
          </w:tcPr>
          <w:p w:rsidR="008E29A1" w:rsidRDefault="008E29A1" w:rsidP="008E29A1">
            <w:pPr>
              <w:spacing w:before="100" w:after="100" w:line="240" w:lineRule="exact"/>
              <w:jc w:val="both"/>
              <w:rPr>
                <w:rFonts w:ascii="Times New Roman" w:hAnsi="Times New Roman" w:cs="Times New Roman"/>
                <w:spacing w:val="4"/>
                <w:sz w:val="18"/>
                <w:szCs w:val="18"/>
              </w:rPr>
            </w:pPr>
            <w:r>
              <w:rPr>
                <w:rFonts w:ascii="Times New Roman" w:hAnsi="Times New Roman" w:cs="Times New Roman" w:hint="eastAsia"/>
                <w:spacing w:val="4"/>
                <w:sz w:val="18"/>
                <w:szCs w:val="18"/>
              </w:rPr>
              <w:t>二〇二五年三月三十一日</w:t>
            </w:r>
          </w:p>
        </w:tc>
      </w:tr>
    </w:tbl>
    <w:p w:rsidR="00403CD6" w:rsidRDefault="00E91A59">
      <w:pPr>
        <w:pStyle w:val="2"/>
        <w:spacing w:before="300" w:after="300" w:line="320" w:lineRule="exact"/>
        <w:rPr>
          <w:rFonts w:ascii="Times New Roman" w:hAnsi="Times New Roman" w:cs="Times New Roman"/>
          <w:b/>
          <w:bCs/>
          <w:sz w:val="24"/>
          <w:szCs w:val="24"/>
        </w:rPr>
      </w:pPr>
      <w:bookmarkStart w:id="4" w:name="_Toc989061"/>
      <w:bookmarkStart w:id="5" w:name="_Toc989063"/>
      <w:r>
        <w:rPr>
          <w:rFonts w:ascii="Times New Roman" w:hAnsi="Times New Roman" w:cs="Times New Roman" w:hint="eastAsia"/>
          <w:b/>
          <w:bCs/>
          <w:sz w:val="24"/>
          <w:szCs w:val="24"/>
        </w:rPr>
        <w:t>二</w:t>
      </w:r>
      <w:r>
        <w:rPr>
          <w:rFonts w:ascii="Times New Roman" w:hAnsi="Times New Roman" w:cs="Times New Roman"/>
          <w:b/>
          <w:bCs/>
          <w:sz w:val="24"/>
          <w:szCs w:val="24"/>
        </w:rPr>
        <w:t>、</w:t>
      </w:r>
      <w:r>
        <w:rPr>
          <w:rFonts w:ascii="Times New Roman" w:hAnsi="Times New Roman" w:cs="Times New Roman" w:hint="eastAsia"/>
          <w:b/>
          <w:bCs/>
          <w:sz w:val="24"/>
          <w:szCs w:val="24"/>
        </w:rPr>
        <w:t>财务报表</w:t>
      </w:r>
    </w:p>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财务附注中报表的单位为：元</w:t>
      </w:r>
    </w:p>
    <w:p w:rsidR="00403CD6" w:rsidRDefault="00E91A59">
      <w:pPr>
        <w:pStyle w:val="30"/>
        <w:spacing w:line="280" w:lineRule="exact"/>
        <w:jc w:val="left"/>
        <w:rPr>
          <w:rFonts w:ascii="Times New Roman" w:eastAsiaTheme="minorEastAsia" w:hAnsi="Times New Roman" w:cs="Times New Roman"/>
          <w:sz w:val="21"/>
        </w:rPr>
      </w:pPr>
      <w:bookmarkStart w:id="6" w:name="_Toc989057"/>
      <w:r>
        <w:rPr>
          <w:rFonts w:ascii="Times New Roman" w:eastAsiaTheme="minorEastAsia" w:hAnsi="Times New Roman" w:cs="Times New Roman"/>
          <w:sz w:val="21"/>
        </w:rPr>
        <w:t>1</w:t>
      </w:r>
      <w:r>
        <w:rPr>
          <w:rFonts w:ascii="Times New Roman" w:eastAsiaTheme="minorEastAsia" w:hAnsi="Times New Roman" w:cs="Times New Roman"/>
          <w:sz w:val="21"/>
        </w:rPr>
        <w:t>、合并资产负债表</w:t>
      </w:r>
      <w:bookmarkEnd w:id="6"/>
    </w:p>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编制单位：山东晨鸣纸业集团股份有限公司</w:t>
      </w:r>
    </w:p>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202</w:t>
      </w:r>
      <w:r>
        <w:rPr>
          <w:rFonts w:ascii="Times New Roman" w:hAnsi="Times New Roman" w:cs="Times New Roman" w:hint="eastAsia"/>
          <w:sz w:val="18"/>
          <w:szCs w:val="18"/>
        </w:rPr>
        <w:t>4</w:t>
      </w:r>
      <w:r>
        <w:rPr>
          <w:rFonts w:ascii="Times New Roman" w:hAnsi="Times New Roman" w:cs="Times New Roman"/>
          <w:sz w:val="18"/>
          <w:szCs w:val="18"/>
        </w:rPr>
        <w:t>年</w:t>
      </w:r>
      <w:r>
        <w:rPr>
          <w:rFonts w:ascii="Times New Roman" w:hAnsi="Times New Roman" w:cs="Times New Roman"/>
          <w:sz w:val="18"/>
          <w:szCs w:val="18"/>
        </w:rPr>
        <w:t>12</w:t>
      </w:r>
      <w:r>
        <w:rPr>
          <w:rFonts w:ascii="Times New Roman" w:hAnsi="Times New Roman" w:cs="Times New Roman"/>
          <w:sz w:val="18"/>
          <w:szCs w:val="18"/>
        </w:rPr>
        <w:t>月</w:t>
      </w:r>
      <w:r>
        <w:rPr>
          <w:rFonts w:ascii="Times New Roman" w:hAnsi="Times New Roman" w:cs="Times New Roman"/>
          <w:sz w:val="18"/>
          <w:szCs w:val="18"/>
        </w:rPr>
        <w:t>31</w:t>
      </w:r>
      <w:r>
        <w:rPr>
          <w:rFonts w:ascii="Times New Roman" w:hAnsi="Times New Roman" w:cs="Times New Roman"/>
          <w:sz w:val="18"/>
          <w:szCs w:val="18"/>
        </w:rPr>
        <w:t>日</w:t>
      </w:r>
    </w:p>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673"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23"/>
        <w:gridCol w:w="3200"/>
        <w:gridCol w:w="3250"/>
      </w:tblGrid>
      <w:tr w:rsidR="00403CD6">
        <w:trPr>
          <w:trHeight w:val="283"/>
        </w:trPr>
        <w:tc>
          <w:tcPr>
            <w:tcW w:w="3223"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项目</w:t>
            </w:r>
          </w:p>
        </w:tc>
        <w:tc>
          <w:tcPr>
            <w:tcW w:w="3200"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期末余额 </w:t>
            </w:r>
          </w:p>
        </w:tc>
        <w:tc>
          <w:tcPr>
            <w:tcW w:w="3250"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期初余额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流动资产：</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50"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货币资金</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5,909,879,812.18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12,124,832,831.30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交易性金融资产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37,259,325.70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46,294,291.71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应收票据</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506,605,701.74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411,600,000.00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应收账款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1,384,290,313.70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2,528,507,059.83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应收款项融资</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100,730,797.32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215,884,249.97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预付款项</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631,893,495.14</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825,135,156.21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其他应收款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1,084,651,870.94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2,224,904,557.88 </w:t>
            </w:r>
          </w:p>
        </w:tc>
      </w:tr>
      <w:tr w:rsidR="00403CD6">
        <w:trPr>
          <w:trHeight w:val="283"/>
        </w:trPr>
        <w:tc>
          <w:tcPr>
            <w:tcW w:w="3223"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其中：应收利息</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r>
      <w:tr w:rsidR="00403CD6">
        <w:trPr>
          <w:trHeight w:val="283"/>
        </w:trPr>
        <w:tc>
          <w:tcPr>
            <w:tcW w:w="3223" w:type="dxa"/>
            <w:shd w:val="clear" w:color="auto" w:fill="D3D3D3"/>
            <w:vAlign w:val="center"/>
          </w:tcPr>
          <w:p w:rsidR="00403CD6" w:rsidRDefault="00E91A59">
            <w:pPr>
              <w:widowControl/>
              <w:ind w:firstLineChars="500" w:firstLine="900"/>
              <w:textAlignment w:val="center"/>
              <w:rPr>
                <w:rFonts w:ascii="宋体" w:eastAsia="宋体" w:hAnsi="宋体" w:cs="宋体"/>
                <w:sz w:val="18"/>
                <w:szCs w:val="18"/>
              </w:rPr>
            </w:pPr>
            <w:r>
              <w:rPr>
                <w:rFonts w:ascii="宋体" w:eastAsia="宋体" w:hAnsi="宋体" w:cs="宋体" w:hint="eastAsia"/>
                <w:kern w:val="0"/>
                <w:sz w:val="18"/>
                <w:szCs w:val="18"/>
                <w:lang w:bidi="ar"/>
              </w:rPr>
              <w:t>应收股利</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22,659,149.81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存货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2,835,388,802.15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4,958,178,000.36 </w:t>
            </w:r>
          </w:p>
        </w:tc>
      </w:tr>
      <w:tr w:rsidR="00403CD6">
        <w:trPr>
          <w:trHeight w:val="283"/>
        </w:trPr>
        <w:tc>
          <w:tcPr>
            <w:tcW w:w="3223"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其中：数据资源</w:t>
            </w:r>
          </w:p>
        </w:tc>
        <w:tc>
          <w:tcPr>
            <w:tcW w:w="3200" w:type="dxa"/>
            <w:shd w:val="clear" w:color="auto" w:fill="auto"/>
          </w:tcPr>
          <w:p w:rsidR="00403CD6" w:rsidRDefault="00E91A59">
            <w:pPr>
              <w:jc w:val="right"/>
            </w:pPr>
            <w:r>
              <w:rPr>
                <w:rFonts w:ascii="Times New Roman" w:eastAsia="宋体" w:hAnsi="Times New Roman" w:cs="Times New Roman"/>
                <w:kern w:val="0"/>
                <w:sz w:val="18"/>
                <w:szCs w:val="18"/>
                <w:lang w:bidi="ar"/>
              </w:rPr>
              <w:t xml:space="preserve"> - </w:t>
            </w:r>
          </w:p>
        </w:tc>
        <w:tc>
          <w:tcPr>
            <w:tcW w:w="3250" w:type="dxa"/>
            <w:shd w:val="clear" w:color="auto" w:fill="auto"/>
          </w:tcPr>
          <w:p w:rsidR="00403CD6" w:rsidRDefault="00E91A59">
            <w:pPr>
              <w:jc w:val="right"/>
            </w:pPr>
            <w:r>
              <w:rPr>
                <w:rFonts w:ascii="Times New Roman" w:eastAsia="宋体" w:hAnsi="Times New Roman" w:cs="Times New Roman"/>
                <w:kern w:val="0"/>
                <w:sz w:val="18"/>
                <w:szCs w:val="18"/>
                <w:lang w:bidi="ar"/>
              </w:rPr>
              <w:t xml:space="preserve"> -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一年内到期的非流动资产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2,840,365,519.48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4,161,725,935.75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其他流动资产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559,911,202.83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1,068,826,944.78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流动资产合计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15,890,976,841.18</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28,565,889,027.79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非流动资产：</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50"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长期应收款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280,291,802.55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339,293,533.35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长期股权投资</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3,971,035,411.54</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4,685,199,385.73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其他非流动金融资产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751,030,454.68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781,561,040.57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投资性房地产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5,743,235,268.46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6,049,242,696.36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固定资产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31,855,069,324.04</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33,186,248,169.56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在建工程</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593,838,603.87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859,617,965.16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生产性生物资产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9,352,071.80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17,684,687.36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使用权资产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266,024,312.87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167,815,311.50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无形资产</w:t>
            </w:r>
          </w:p>
        </w:tc>
        <w:tc>
          <w:tcPr>
            <w:tcW w:w="3200" w:type="dxa"/>
            <w:shd w:val="clear" w:color="auto" w:fill="auto"/>
            <w:vAlign w:val="center"/>
          </w:tcPr>
          <w:p w:rsidR="00403CD6" w:rsidRPr="00F45AED" w:rsidRDefault="00E121D0" w:rsidP="00E121D0">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sidRPr="00F45AED">
              <w:rPr>
                <w:rFonts w:ascii="Times New Roman" w:eastAsia="宋体" w:hAnsi="Times New Roman" w:cs="Times New Roman"/>
                <w:kern w:val="0"/>
                <w:sz w:val="18"/>
                <w:szCs w:val="18"/>
                <w:lang w:bidi="ar"/>
              </w:rPr>
              <w:t xml:space="preserve">      1,652,267,783.57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2,002,360,891.85 </w:t>
            </w:r>
          </w:p>
        </w:tc>
      </w:tr>
      <w:tr w:rsidR="00403CD6">
        <w:trPr>
          <w:trHeight w:val="283"/>
        </w:trPr>
        <w:tc>
          <w:tcPr>
            <w:tcW w:w="3223"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其中：数据资源</w:t>
            </w:r>
          </w:p>
        </w:tc>
        <w:tc>
          <w:tcPr>
            <w:tcW w:w="3200" w:type="dxa"/>
            <w:shd w:val="clear" w:color="auto" w:fill="auto"/>
            <w:vAlign w:val="center"/>
          </w:tcPr>
          <w:p w:rsidR="00403CD6" w:rsidRPr="00F45AED" w:rsidRDefault="00E91A59" w:rsidP="00F45AED">
            <w:pPr>
              <w:widowControl/>
              <w:jc w:val="right"/>
              <w:textAlignment w:val="center"/>
              <w:rPr>
                <w:rFonts w:ascii="Times New Roman" w:eastAsia="宋体" w:hAnsi="Times New Roman" w:cs="Times New Roman"/>
                <w:kern w:val="0"/>
                <w:sz w:val="18"/>
                <w:szCs w:val="18"/>
                <w:lang w:bidi="ar"/>
              </w:rPr>
            </w:pPr>
            <w:r>
              <w:rPr>
                <w:rFonts w:ascii="Times New Roman" w:eastAsia="宋体" w:hAnsi="Times New Roman" w:cs="Times New Roman"/>
                <w:kern w:val="0"/>
                <w:sz w:val="18"/>
                <w:szCs w:val="18"/>
                <w:lang w:bidi="ar"/>
              </w:rPr>
              <w:t>-</w:t>
            </w:r>
          </w:p>
        </w:tc>
        <w:tc>
          <w:tcPr>
            <w:tcW w:w="32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商誉</w:t>
            </w:r>
          </w:p>
        </w:tc>
        <w:tc>
          <w:tcPr>
            <w:tcW w:w="3200" w:type="dxa"/>
            <w:shd w:val="clear" w:color="auto" w:fill="auto"/>
            <w:vAlign w:val="center"/>
          </w:tcPr>
          <w:p w:rsidR="00403CD6" w:rsidRPr="00F45AED" w:rsidRDefault="00E91A59">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Pr>
                <w:rFonts w:ascii="Times New Roman" w:eastAsia="宋体" w:hAnsi="Times New Roman" w:cs="Times New Roman"/>
                <w:kern w:val="0"/>
                <w:sz w:val="18"/>
                <w:szCs w:val="18"/>
                <w:lang w:bidi="ar"/>
              </w:rPr>
              <w:t xml:space="preserve"> -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35,220,543.80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长期待摊费用</w:t>
            </w:r>
          </w:p>
        </w:tc>
        <w:tc>
          <w:tcPr>
            <w:tcW w:w="3200" w:type="dxa"/>
            <w:shd w:val="clear" w:color="auto" w:fill="auto"/>
            <w:vAlign w:val="center"/>
          </w:tcPr>
          <w:p w:rsidR="00403CD6" w:rsidRPr="00F45AED" w:rsidRDefault="00E91A59">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Pr>
                <w:rFonts w:ascii="Times New Roman" w:eastAsia="宋体" w:hAnsi="Times New Roman" w:cs="Times New Roman"/>
                <w:kern w:val="0"/>
                <w:sz w:val="18"/>
                <w:szCs w:val="18"/>
                <w:lang w:bidi="ar"/>
              </w:rPr>
              <w:t xml:space="preserve"> 289,677,546.87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39,979,161.49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lastRenderedPageBreak/>
              <w:t>递延所得税资产</w:t>
            </w:r>
          </w:p>
        </w:tc>
        <w:tc>
          <w:tcPr>
            <w:tcW w:w="3200" w:type="dxa"/>
            <w:shd w:val="clear" w:color="auto" w:fill="auto"/>
            <w:vAlign w:val="center"/>
          </w:tcPr>
          <w:p w:rsidR="00403CD6" w:rsidRPr="00F45AED" w:rsidRDefault="00E91A59">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1,790,639,019.23 </w:t>
            </w:r>
            <w:r>
              <w:rPr>
                <w:rFonts w:ascii="Times New Roman" w:eastAsia="宋体" w:hAnsi="Times New Roman" w:cs="Times New Roman"/>
                <w:kern w:val="0"/>
                <w:sz w:val="18"/>
                <w:szCs w:val="18"/>
                <w:lang w:bidi="ar"/>
              </w:rPr>
              <w:t xml:space="preserve">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1,689,857,881.49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其他非流动资产</w:t>
            </w:r>
          </w:p>
        </w:tc>
        <w:tc>
          <w:tcPr>
            <w:tcW w:w="3200" w:type="dxa"/>
            <w:shd w:val="clear" w:color="auto" w:fill="auto"/>
            <w:vAlign w:val="center"/>
          </w:tcPr>
          <w:p w:rsidR="00403CD6" w:rsidRPr="00F45AED" w:rsidRDefault="00E121D0" w:rsidP="00E121D0">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sidRPr="00F45AED">
              <w:rPr>
                <w:rFonts w:ascii="Times New Roman" w:eastAsia="宋体" w:hAnsi="Times New Roman" w:cs="Times New Roman"/>
                <w:kern w:val="0"/>
                <w:sz w:val="18"/>
                <w:szCs w:val="18"/>
                <w:lang w:bidi="ar"/>
              </w:rPr>
              <w:t xml:space="preserve">        415,856,701.42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1,067,082,657.57 </w:t>
            </w:r>
          </w:p>
        </w:tc>
      </w:tr>
      <w:tr w:rsidR="00403CD6" w:rsidTr="008A7F3A">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非流动资产合计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47,618,318,300.90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50,921,163,925.79 </w:t>
            </w:r>
          </w:p>
        </w:tc>
      </w:tr>
      <w:tr w:rsidR="00403CD6" w:rsidTr="008A7F3A">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资产总计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63,509,295,142.08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79,487,052,953.58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流动负债：</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50"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短期借款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26,780,358,809.11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33,475,479,021.62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应付票据</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1,423,918,112.99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4,618,986,463.95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应付账款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7,708,967,406.47</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3,902,620,870.20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预收款项</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54,538,940.24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16,242,921.65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合同负债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274,829,824.35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1,443,680,155.62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应付职工薪酬</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251,387,660.00  </w:t>
            </w:r>
            <w:r>
              <w:rPr>
                <w:rFonts w:ascii="Times New Roman" w:eastAsia="宋体" w:hAnsi="Times New Roman" w:cs="Times New Roman"/>
                <w:kern w:val="0"/>
                <w:sz w:val="18"/>
                <w:szCs w:val="18"/>
                <w:lang w:bidi="ar"/>
              </w:rPr>
              <w:t xml:space="preserve">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74,337,158.44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应交税费</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193,424,339.67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99,709,707.56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其他应付款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2,896,409,953.94</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2,414,752,127.19 </w:t>
            </w:r>
          </w:p>
        </w:tc>
      </w:tr>
      <w:tr w:rsidR="00403CD6">
        <w:trPr>
          <w:trHeight w:val="283"/>
        </w:trPr>
        <w:tc>
          <w:tcPr>
            <w:tcW w:w="3223"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其中：应付利息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63,042,283.31 </w:t>
            </w:r>
          </w:p>
        </w:tc>
        <w:tc>
          <w:tcPr>
            <w:tcW w:w="32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23" w:type="dxa"/>
            <w:shd w:val="clear" w:color="auto" w:fill="D3D3D3"/>
            <w:vAlign w:val="center"/>
          </w:tcPr>
          <w:p w:rsidR="00403CD6" w:rsidRDefault="00E91A59">
            <w:pPr>
              <w:widowControl/>
              <w:ind w:firstLineChars="500" w:firstLine="900"/>
              <w:textAlignment w:val="center"/>
              <w:rPr>
                <w:rFonts w:ascii="宋体" w:eastAsia="宋体" w:hAnsi="宋体" w:cs="宋体"/>
                <w:sz w:val="18"/>
                <w:szCs w:val="18"/>
              </w:rPr>
            </w:pPr>
            <w:r>
              <w:rPr>
                <w:rFonts w:ascii="宋体" w:eastAsia="宋体" w:hAnsi="宋体" w:cs="宋体" w:hint="eastAsia"/>
                <w:kern w:val="0"/>
                <w:sz w:val="18"/>
                <w:szCs w:val="18"/>
                <w:lang w:bidi="ar"/>
              </w:rPr>
              <w:t>应付股利</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123,000,000.00 </w:t>
            </w:r>
          </w:p>
        </w:tc>
        <w:tc>
          <w:tcPr>
            <w:tcW w:w="32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一年内到期的非流动负债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1,577,936,964.14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3,631,937,677.82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其他流动负债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2,680,562,600.58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100,000,000.00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流动负债合计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43,842,334,611.49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49,777,746,104.05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非流动负债：</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50"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长期借款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4,763,662,194.24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4,681,014,489.64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租赁负债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37,092,473.06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41,987,022.85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长期应付款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774,965,008.29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2,541,095,217.66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预计负债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5,935,000.00 </w:t>
            </w:r>
          </w:p>
        </w:tc>
        <w:tc>
          <w:tcPr>
            <w:tcW w:w="32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递延收益</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1,240,939,485.52</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1,337,864,114.70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递延所得税负债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8,595,744.33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9,490,159.05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非流动负债合计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6,831,189,905.44</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8,611,451,003.90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负债合计</w:t>
            </w:r>
          </w:p>
        </w:tc>
        <w:tc>
          <w:tcPr>
            <w:tcW w:w="3200" w:type="dxa"/>
            <w:shd w:val="clear" w:color="auto" w:fill="auto"/>
            <w:vAlign w:val="center"/>
          </w:tcPr>
          <w:p w:rsidR="00403CD6" w:rsidRPr="008A7F3A" w:rsidRDefault="00E91A59">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50,673,524,516.93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58,389,197,107.95 </w:t>
            </w:r>
          </w:p>
        </w:tc>
      </w:tr>
      <w:tr w:rsidR="00403CD6">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所有者权益：</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50"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股本</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2,934,556,200.00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2,956,813,200.00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资本公积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5,207,678,622.75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5,328,790,899.61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减：库存股</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63,432,450.00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其他综合收益</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-913,708,670.15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-864,881,489.08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专项储备</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26,800,491.53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23,322,829.57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盈余公积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1,212,009,109.97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1,212,009,109.97 </w:t>
            </w:r>
          </w:p>
        </w:tc>
      </w:tr>
      <w:tr w:rsidR="00403CD6">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一般风险准备</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80,950,584.11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79,370,294.91 </w:t>
            </w:r>
          </w:p>
        </w:tc>
      </w:tr>
      <w:tr w:rsidR="00403CD6" w:rsidTr="008A7F3A">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未分配利润</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607,818,020.70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8,020,182,801.55 </w:t>
            </w:r>
          </w:p>
        </w:tc>
      </w:tr>
      <w:tr w:rsidR="00403CD6" w:rsidTr="008A7F3A">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归属于母公司所有者权益合计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9,156,104,358.91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16,692,175,196.53 </w:t>
            </w:r>
          </w:p>
        </w:tc>
      </w:tr>
      <w:tr w:rsidR="00403CD6" w:rsidTr="008A7F3A">
        <w:trPr>
          <w:trHeight w:val="283"/>
        </w:trPr>
        <w:tc>
          <w:tcPr>
            <w:tcW w:w="3223"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少数股东权益</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3,679,666,266.24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4,405,680,649.10 </w:t>
            </w:r>
          </w:p>
        </w:tc>
      </w:tr>
      <w:tr w:rsidR="00403CD6" w:rsidTr="008A7F3A">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所有者权益合计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12,835,770,625.15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21,097,855,845.63 </w:t>
            </w:r>
          </w:p>
        </w:tc>
      </w:tr>
      <w:tr w:rsidR="00403CD6" w:rsidTr="008A7F3A">
        <w:trPr>
          <w:trHeight w:val="283"/>
        </w:trPr>
        <w:tc>
          <w:tcPr>
            <w:tcW w:w="3223"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负债和所有者权益总计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63,509,295,142.08 </w:t>
            </w:r>
          </w:p>
        </w:tc>
        <w:tc>
          <w:tcPr>
            <w:tcW w:w="32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79,487,052,953.58 </w:t>
            </w:r>
          </w:p>
        </w:tc>
      </w:tr>
    </w:tbl>
    <w:p w:rsidR="00403CD6" w:rsidRDefault="00403CD6">
      <w:pPr>
        <w:spacing w:line="240" w:lineRule="exact"/>
        <w:rPr>
          <w:rFonts w:ascii="Times New Roman" w:hAnsi="Times New Roman" w:cs="Times New Roman"/>
          <w:sz w:val="18"/>
          <w:szCs w:val="18"/>
        </w:rPr>
      </w:pPr>
    </w:p>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法定代表人：</w:t>
      </w:r>
      <w:r>
        <w:rPr>
          <w:rFonts w:ascii="Times New Roman" w:hAnsi="Times New Roman" w:cs="Times New Roman" w:hint="eastAsia"/>
          <w:sz w:val="18"/>
          <w:szCs w:val="18"/>
        </w:rPr>
        <w:t>胡长青</w:t>
      </w:r>
      <w:r>
        <w:rPr>
          <w:rFonts w:ascii="Times New Roman" w:hAnsi="Times New Roman" w:cs="Times New Roman"/>
          <w:sz w:val="18"/>
          <w:szCs w:val="18"/>
        </w:rPr>
        <w:t xml:space="preserve">                                          </w:t>
      </w:r>
      <w:r>
        <w:rPr>
          <w:rFonts w:ascii="Times New Roman" w:hAnsi="Times New Roman" w:cs="Times New Roman"/>
          <w:sz w:val="18"/>
          <w:szCs w:val="18"/>
        </w:rPr>
        <w:t>主管会计工作负责人：董连明</w:t>
      </w:r>
      <w:r>
        <w:rPr>
          <w:rFonts w:ascii="Times New Roman" w:hAnsi="Times New Roman" w:cs="Times New Roman"/>
          <w:sz w:val="18"/>
          <w:szCs w:val="18"/>
        </w:rPr>
        <w:t xml:space="preserve">                                       </w:t>
      </w:r>
      <w:r>
        <w:rPr>
          <w:rFonts w:ascii="Times New Roman" w:hAnsi="Times New Roman" w:cs="Times New Roman"/>
          <w:sz w:val="18"/>
          <w:szCs w:val="18"/>
        </w:rPr>
        <w:t>会计机构负责人：张波</w:t>
      </w:r>
    </w:p>
    <w:p w:rsidR="00403CD6" w:rsidRDefault="00E91A59">
      <w:pPr>
        <w:pStyle w:val="30"/>
        <w:spacing w:line="280" w:lineRule="exact"/>
        <w:jc w:val="left"/>
        <w:rPr>
          <w:rFonts w:ascii="Times New Roman" w:eastAsiaTheme="minorEastAsia" w:hAnsi="Times New Roman" w:cs="Times New Roman"/>
          <w:sz w:val="21"/>
        </w:rPr>
      </w:pPr>
      <w:bookmarkStart w:id="7" w:name="_Toc989058"/>
      <w:r>
        <w:rPr>
          <w:rFonts w:ascii="Times New Roman" w:eastAsiaTheme="minorEastAsia" w:hAnsi="Times New Roman" w:cs="Times New Roman"/>
          <w:sz w:val="21"/>
        </w:rPr>
        <w:t>2</w:t>
      </w:r>
      <w:r>
        <w:rPr>
          <w:rFonts w:ascii="Times New Roman" w:eastAsiaTheme="minorEastAsia" w:hAnsi="Times New Roman" w:cs="Times New Roman"/>
          <w:sz w:val="21"/>
        </w:rPr>
        <w:t>、母公司资产负债表</w:t>
      </w:r>
      <w:bookmarkEnd w:id="7"/>
    </w:p>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673"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35"/>
        <w:gridCol w:w="3200"/>
        <w:gridCol w:w="3238"/>
      </w:tblGrid>
      <w:tr w:rsidR="00403CD6">
        <w:trPr>
          <w:trHeight w:val="283"/>
        </w:trPr>
        <w:tc>
          <w:tcPr>
            <w:tcW w:w="3235"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项目</w:t>
            </w:r>
          </w:p>
        </w:tc>
        <w:tc>
          <w:tcPr>
            <w:tcW w:w="3200"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期末余额 </w:t>
            </w:r>
          </w:p>
        </w:tc>
        <w:tc>
          <w:tcPr>
            <w:tcW w:w="3238"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期初余额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流动资产：</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38"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lastRenderedPageBreak/>
              <w:t>货币资金</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1,599,326,584.12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4,421,608,897.40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应收票据</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275,500,130.56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3,024,868,267.23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应收账款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240,787,940.24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28,216,771.01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预付款项</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1,221,574,612.38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476,746,114.74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其他应收款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8,459,731,199.92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9,237,241,240.86 </w:t>
            </w:r>
          </w:p>
        </w:tc>
      </w:tr>
      <w:tr w:rsidR="00403CD6">
        <w:trPr>
          <w:trHeight w:val="283"/>
        </w:trPr>
        <w:tc>
          <w:tcPr>
            <w:tcW w:w="3235"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其中：应收利息</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500" w:firstLine="900"/>
              <w:textAlignment w:val="center"/>
              <w:rPr>
                <w:rFonts w:ascii="宋体" w:eastAsia="宋体" w:hAnsi="宋体" w:cs="宋体"/>
                <w:sz w:val="18"/>
                <w:szCs w:val="18"/>
              </w:rPr>
            </w:pPr>
            <w:r>
              <w:rPr>
                <w:rFonts w:ascii="宋体" w:eastAsia="宋体" w:hAnsi="宋体" w:cs="宋体" w:hint="eastAsia"/>
                <w:kern w:val="0"/>
                <w:sz w:val="18"/>
                <w:szCs w:val="18"/>
                <w:lang w:bidi="ar"/>
              </w:rPr>
              <w:t>应收股利</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存货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279,754,637.58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554,028,121.69 </w:t>
            </w:r>
          </w:p>
        </w:tc>
      </w:tr>
      <w:tr w:rsidR="00403CD6">
        <w:trPr>
          <w:trHeight w:val="283"/>
        </w:trPr>
        <w:tc>
          <w:tcPr>
            <w:tcW w:w="3235"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其中：数据资源</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一年内到期的非流动资产</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3,428,684.19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其他流动资产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38,776,511.95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62,834,527.02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流动资产合计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12,115,451,616.75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17,808,972,624.14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非流动资产：</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38"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长期应收款</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12,485,720.05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长期股权投资</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18,587,172,933.97</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18,298,999,830.51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其他非流动金融资产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101,028,728.82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122,462,024.19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固定资产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3,286,823,373.00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3,415,454,701.17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在建工程</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6,526,025.52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38,707,761.30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使用权资产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103,125,000.00 </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无形资产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462,060,836.20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476,297,197.96 </w:t>
            </w:r>
          </w:p>
        </w:tc>
      </w:tr>
      <w:tr w:rsidR="00403CD6">
        <w:trPr>
          <w:trHeight w:val="283"/>
        </w:trPr>
        <w:tc>
          <w:tcPr>
            <w:tcW w:w="3235"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其中：数据资源</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递延所得税资产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587,532,690.79 </w:t>
            </w:r>
            <w:r>
              <w:rPr>
                <w:rFonts w:ascii="Times New Roman" w:eastAsia="宋体" w:hAnsi="Times New Roman" w:cs="Times New Roman"/>
                <w:kern w:val="0"/>
                <w:sz w:val="18"/>
                <w:szCs w:val="18"/>
                <w:lang w:bidi="ar"/>
              </w:rPr>
              <w:t xml:space="preserve">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571,194,789.79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其他非流动资产</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12,030,680.01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12,692,260.70 </w:t>
            </w:r>
          </w:p>
        </w:tc>
      </w:tr>
      <w:tr w:rsidR="00403CD6" w:rsidTr="008A7F3A">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非流动资产合计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23,146,300,268.31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22,948,294,285.67 </w:t>
            </w:r>
          </w:p>
        </w:tc>
      </w:tr>
      <w:tr w:rsidR="00403CD6" w:rsidTr="008A7F3A">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资产总计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35,261,751,885.06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40,757,266,909.81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流动负债：</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38"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短期借款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8,760,304,513.03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13,172,491,176.11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应付票据</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4,776,895,581.73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6,699,118,643.16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应付账款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1,494,669,551.89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1,817,323,321.03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合同负债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1,795,549,425.10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1,454,807,158.83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应付职工薪酬</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83,931,485.87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38,778,024.93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应交税费</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40,921,701.99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9,022,105.28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其他应付款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3,679,222,270.99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1,412,965,873.90 </w:t>
            </w:r>
          </w:p>
        </w:tc>
      </w:tr>
      <w:tr w:rsidR="00403CD6">
        <w:trPr>
          <w:trHeight w:val="283"/>
        </w:trPr>
        <w:tc>
          <w:tcPr>
            <w:tcW w:w="3235" w:type="dxa"/>
            <w:shd w:val="clear" w:color="auto" w:fill="D3D3D3"/>
            <w:vAlign w:val="center"/>
          </w:tcPr>
          <w:p w:rsidR="00403CD6" w:rsidRDefault="00E91A59">
            <w:pPr>
              <w:widowControl/>
              <w:ind w:firstLineChars="200" w:firstLine="360"/>
              <w:textAlignment w:val="center"/>
              <w:rPr>
                <w:rFonts w:ascii="宋体" w:eastAsia="宋体" w:hAnsi="宋体" w:cs="宋体"/>
                <w:sz w:val="18"/>
                <w:szCs w:val="18"/>
              </w:rPr>
            </w:pPr>
            <w:r>
              <w:rPr>
                <w:rFonts w:ascii="宋体" w:eastAsia="宋体" w:hAnsi="宋体" w:cs="宋体" w:hint="eastAsia"/>
                <w:kern w:val="0"/>
                <w:sz w:val="18"/>
                <w:szCs w:val="18"/>
                <w:lang w:bidi="ar"/>
              </w:rPr>
              <w:t>其中：应付利息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22,581,097.56 </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500" w:firstLine="900"/>
              <w:textAlignment w:val="center"/>
              <w:rPr>
                <w:rFonts w:ascii="宋体" w:eastAsia="宋体" w:hAnsi="宋体" w:cs="宋体"/>
                <w:sz w:val="18"/>
                <w:szCs w:val="18"/>
              </w:rPr>
            </w:pPr>
            <w:r>
              <w:rPr>
                <w:rFonts w:ascii="宋体" w:eastAsia="宋体" w:hAnsi="宋体" w:cs="宋体" w:hint="eastAsia"/>
                <w:kern w:val="0"/>
                <w:sz w:val="18"/>
                <w:szCs w:val="18"/>
                <w:lang w:bidi="ar"/>
              </w:rPr>
              <w:t>应付股利</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一年内到期的非流动负债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1,329,838,949.85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734,311,029.42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其他流动负债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59,111,611.53 </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流动负债合计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22,020,445,091.98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25,338,817,332.66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非流动负债：</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38"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长期借款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1,548,277,044.45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1,795,000,000.00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长期应付款</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8,106,807.57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1,281,983,636.99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预计负债</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5,935,000.00 </w:t>
            </w:r>
          </w:p>
        </w:tc>
        <w:tc>
          <w:tcPr>
            <w:tcW w:w="32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递延收益</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34,010,344.36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31,530,836.20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非流动负债合计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1,596,329,196.38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3,108,514,473.19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负债合计</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23,616,774,288.36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28,447,331,805.85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所有者权益：</w:t>
            </w:r>
          </w:p>
        </w:tc>
        <w:tc>
          <w:tcPr>
            <w:tcW w:w="3200" w:type="dxa"/>
            <w:shd w:val="clear" w:color="auto" w:fill="D3D3D3"/>
            <w:vAlign w:val="center"/>
          </w:tcPr>
          <w:p w:rsidR="00403CD6" w:rsidRDefault="00403CD6">
            <w:pPr>
              <w:rPr>
                <w:rFonts w:ascii="Times New Roman" w:eastAsia="宋体" w:hAnsi="Times New Roman" w:cs="Times New Roman"/>
                <w:szCs w:val="21"/>
              </w:rPr>
            </w:pPr>
          </w:p>
        </w:tc>
        <w:tc>
          <w:tcPr>
            <w:tcW w:w="3238"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股本</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2,934,556,200.00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2,956,813,200.00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lastRenderedPageBreak/>
              <w:t>资本公积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5,032,163,419.19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5,073,338,869.19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减：库存股</w:t>
            </w:r>
          </w:p>
        </w:tc>
        <w:tc>
          <w:tcPr>
            <w:tcW w:w="3200" w:type="dxa"/>
            <w:shd w:val="clear" w:color="auto" w:fill="auto"/>
            <w:vAlign w:val="center"/>
          </w:tcPr>
          <w:p w:rsidR="00403CD6" w:rsidRDefault="00E91A59">
            <w:pPr>
              <w:jc w:val="right"/>
              <w:rPr>
                <w:rFonts w:ascii="Times New Roman" w:eastAsia="宋体" w:hAnsi="Times New Roman" w:cs="Times New Roman"/>
                <w:sz w:val="18"/>
                <w:szCs w:val="18"/>
              </w:rPr>
            </w:pPr>
            <w:bookmarkStart w:id="8" w:name="OLE_LINK23"/>
            <w:bookmarkStart w:id="9" w:name="OLE_LINK22"/>
            <w:r>
              <w:rPr>
                <w:rFonts w:ascii="Times New Roman" w:eastAsia="宋体" w:hAnsi="Times New Roman" w:cs="Times New Roman"/>
                <w:kern w:val="0"/>
                <w:sz w:val="18"/>
                <w:szCs w:val="18"/>
                <w:lang w:bidi="ar"/>
              </w:rPr>
              <w:t>-</w:t>
            </w:r>
            <w:bookmarkEnd w:id="8"/>
            <w:bookmarkEnd w:id="9"/>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63,432,450.00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专项储备</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7,405,266.87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4,612,641.99 </w:t>
            </w:r>
          </w:p>
        </w:tc>
      </w:tr>
      <w:tr w:rsidR="00403CD6">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盈余公积</w:t>
            </w:r>
          </w:p>
        </w:tc>
        <w:tc>
          <w:tcPr>
            <w:tcW w:w="32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1,199,819,528.06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1,199,819,528.06 </w:t>
            </w:r>
          </w:p>
        </w:tc>
      </w:tr>
      <w:tr w:rsidR="00403CD6" w:rsidTr="008A7F3A">
        <w:trPr>
          <w:trHeight w:val="283"/>
        </w:trPr>
        <w:tc>
          <w:tcPr>
            <w:tcW w:w="3235" w:type="dxa"/>
            <w:shd w:val="clear" w:color="auto" w:fill="D3D3D3"/>
            <w:vAlign w:val="center"/>
          </w:tcPr>
          <w:p w:rsidR="00403CD6" w:rsidRDefault="00E91A59">
            <w:pPr>
              <w:widowControl/>
              <w:ind w:firstLineChars="100" w:firstLine="180"/>
              <w:textAlignment w:val="center"/>
              <w:rPr>
                <w:rFonts w:ascii="宋体" w:eastAsia="宋体" w:hAnsi="宋体" w:cs="宋体"/>
                <w:sz w:val="18"/>
                <w:szCs w:val="18"/>
              </w:rPr>
            </w:pPr>
            <w:r>
              <w:rPr>
                <w:rFonts w:ascii="宋体" w:eastAsia="宋体" w:hAnsi="宋体" w:cs="宋体" w:hint="eastAsia"/>
                <w:kern w:val="0"/>
                <w:sz w:val="18"/>
                <w:szCs w:val="18"/>
                <w:lang w:bidi="ar"/>
              </w:rPr>
              <w:t>未分配利润</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2,471,033,182.58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3,138,783,314.72 </w:t>
            </w:r>
          </w:p>
        </w:tc>
      </w:tr>
      <w:tr w:rsidR="00403CD6" w:rsidTr="008A7F3A">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所有者权益合计</w:t>
            </w:r>
          </w:p>
        </w:tc>
        <w:tc>
          <w:tcPr>
            <w:tcW w:w="3200"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11,644,977,596.70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12,309,935,103.96 </w:t>
            </w:r>
          </w:p>
        </w:tc>
      </w:tr>
      <w:tr w:rsidR="00403CD6">
        <w:trPr>
          <w:trHeight w:val="283"/>
        </w:trPr>
        <w:tc>
          <w:tcPr>
            <w:tcW w:w="3235"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负债和所有者权益总计</w:t>
            </w:r>
          </w:p>
        </w:tc>
        <w:tc>
          <w:tcPr>
            <w:tcW w:w="3200" w:type="dxa"/>
            <w:shd w:val="clear" w:color="auto" w:fill="auto"/>
            <w:vAlign w:val="center"/>
          </w:tcPr>
          <w:p w:rsidR="00403CD6" w:rsidRPr="008A7F3A" w:rsidRDefault="00E91A59">
            <w:pPr>
              <w:widowControl/>
              <w:spacing w:before="100" w:beforeAutospacing="1" w:after="100" w:afterAutospacing="1"/>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35,261,751,885.06 </w:t>
            </w:r>
          </w:p>
        </w:tc>
        <w:tc>
          <w:tcPr>
            <w:tcW w:w="32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40,757,266,909.81 </w:t>
            </w:r>
          </w:p>
        </w:tc>
      </w:tr>
    </w:tbl>
    <w:p w:rsidR="00403CD6" w:rsidRDefault="00E91A59">
      <w:pPr>
        <w:pStyle w:val="30"/>
        <w:spacing w:line="280" w:lineRule="exact"/>
        <w:jc w:val="left"/>
        <w:rPr>
          <w:rFonts w:ascii="Times New Roman" w:eastAsiaTheme="minorEastAsia" w:hAnsi="Times New Roman" w:cs="Times New Roman"/>
          <w:sz w:val="21"/>
        </w:rPr>
      </w:pPr>
      <w:bookmarkStart w:id="10" w:name="_Toc989059"/>
      <w:r>
        <w:rPr>
          <w:rFonts w:ascii="Times New Roman" w:eastAsiaTheme="minorEastAsia" w:hAnsi="Times New Roman" w:cs="Times New Roman"/>
          <w:sz w:val="21"/>
        </w:rPr>
        <w:t>3</w:t>
      </w:r>
      <w:r>
        <w:rPr>
          <w:rFonts w:ascii="Times New Roman" w:eastAsiaTheme="minorEastAsia" w:hAnsi="Times New Roman" w:cs="Times New Roman"/>
          <w:sz w:val="21"/>
        </w:rPr>
        <w:t>、合并利润表</w:t>
      </w:r>
      <w:bookmarkEnd w:id="10"/>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610"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48"/>
        <w:gridCol w:w="2387"/>
        <w:gridCol w:w="2375"/>
      </w:tblGrid>
      <w:tr w:rsidR="00403CD6">
        <w:trPr>
          <w:trHeight w:val="284"/>
        </w:trPr>
        <w:tc>
          <w:tcPr>
            <w:tcW w:w="4848"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项目</w:t>
            </w:r>
          </w:p>
        </w:tc>
        <w:tc>
          <w:tcPr>
            <w:tcW w:w="2387"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Style w:val="font31"/>
                <w:rFonts w:eastAsia="宋体"/>
                <w:color w:val="auto"/>
                <w:lang w:bidi="ar"/>
              </w:rPr>
              <w:t xml:space="preserve"> 202</w:t>
            </w:r>
            <w:r>
              <w:rPr>
                <w:rFonts w:ascii="Times New Roman" w:eastAsia="宋体" w:hAnsi="Times New Roman" w:cs="Times New Roman"/>
                <w:kern w:val="0"/>
                <w:sz w:val="18"/>
                <w:szCs w:val="18"/>
                <w:lang w:bidi="ar"/>
              </w:rPr>
              <w:t>4</w:t>
            </w:r>
            <w:r>
              <w:rPr>
                <w:rFonts w:ascii="Times New Roman" w:eastAsia="宋体" w:hAnsi="Times New Roman" w:cs="Times New Roman"/>
                <w:kern w:val="0"/>
                <w:sz w:val="18"/>
                <w:szCs w:val="18"/>
                <w:lang w:bidi="ar"/>
              </w:rPr>
              <w:t>年度</w:t>
            </w:r>
            <w:r>
              <w:rPr>
                <w:rFonts w:ascii="Times New Roman" w:eastAsia="宋体" w:hAnsi="Times New Roman" w:cs="Times New Roman"/>
                <w:kern w:val="0"/>
                <w:sz w:val="18"/>
                <w:szCs w:val="18"/>
                <w:lang w:bidi="ar"/>
              </w:rPr>
              <w:t xml:space="preserve"> </w:t>
            </w:r>
          </w:p>
        </w:tc>
        <w:tc>
          <w:tcPr>
            <w:tcW w:w="2375"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Style w:val="font31"/>
                <w:rFonts w:eastAsia="宋体"/>
                <w:color w:val="auto"/>
                <w:lang w:bidi="ar"/>
              </w:rPr>
              <w:t xml:space="preserve"> 202</w:t>
            </w:r>
            <w:r>
              <w:rPr>
                <w:rFonts w:ascii="Times New Roman" w:eastAsia="宋体" w:hAnsi="Times New Roman" w:cs="Times New Roman"/>
                <w:kern w:val="0"/>
                <w:sz w:val="18"/>
                <w:szCs w:val="18"/>
                <w:lang w:bidi="ar"/>
              </w:rPr>
              <w:t>3</w:t>
            </w:r>
            <w:r>
              <w:rPr>
                <w:rFonts w:ascii="Times New Roman" w:eastAsia="宋体" w:hAnsi="Times New Roman" w:cs="Times New Roman"/>
                <w:kern w:val="0"/>
                <w:sz w:val="18"/>
                <w:szCs w:val="18"/>
                <w:lang w:bidi="ar"/>
              </w:rPr>
              <w:t>年度</w:t>
            </w:r>
            <w:r>
              <w:rPr>
                <w:rFonts w:ascii="Times New Roman" w:eastAsia="宋体" w:hAnsi="Times New Roman" w:cs="Times New Roman"/>
                <w:kern w:val="0"/>
                <w:sz w:val="18"/>
                <w:szCs w:val="18"/>
                <w:lang w:bidi="ar"/>
              </w:rPr>
              <w:t xml:space="preserve">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一、营业总收入</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22,729,474,852.76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26,608,570,228.20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其中：营业收入</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22,729,474,852.76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26,608,570,228.20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二、营业总成本</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26,411,444,253.77 </w:t>
            </w:r>
            <w:r>
              <w:rPr>
                <w:rFonts w:ascii="Times New Roman" w:eastAsia="宋体" w:hAnsi="Times New Roman" w:cs="Times New Roman"/>
                <w:kern w:val="0"/>
                <w:sz w:val="18"/>
                <w:szCs w:val="18"/>
                <w:lang w:bidi="ar"/>
              </w:rPr>
              <w:t xml:space="preserve">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28,768,694,490.76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其中：营业成本</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22,144,828,668.43</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24,445,486,299.93 </w:t>
            </w:r>
          </w:p>
        </w:tc>
      </w:tr>
      <w:tr w:rsidR="00403CD6">
        <w:trPr>
          <w:trHeight w:val="284"/>
        </w:trPr>
        <w:tc>
          <w:tcPr>
            <w:tcW w:w="4848"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税金及附加</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225,961,280.46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227,802,365.12 </w:t>
            </w:r>
          </w:p>
        </w:tc>
      </w:tr>
      <w:tr w:rsidR="00403CD6" w:rsidTr="008A7F3A">
        <w:trPr>
          <w:trHeight w:val="284"/>
        </w:trPr>
        <w:tc>
          <w:tcPr>
            <w:tcW w:w="4848"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销售费用</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241,171,109.12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230,999,637.43 </w:t>
            </w:r>
          </w:p>
        </w:tc>
      </w:tr>
      <w:tr w:rsidR="00403CD6" w:rsidTr="008A7F3A">
        <w:trPr>
          <w:trHeight w:val="284"/>
        </w:trPr>
        <w:tc>
          <w:tcPr>
            <w:tcW w:w="4848"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管理费用</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751,168,974.00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690,319,782.01 </w:t>
            </w:r>
          </w:p>
        </w:tc>
      </w:tr>
      <w:tr w:rsidR="00403CD6">
        <w:trPr>
          <w:trHeight w:val="284"/>
        </w:trPr>
        <w:tc>
          <w:tcPr>
            <w:tcW w:w="4848"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研发费用</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1,080,331,754.42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1,164,419,698.13 </w:t>
            </w:r>
          </w:p>
        </w:tc>
      </w:tr>
      <w:tr w:rsidR="00403CD6">
        <w:trPr>
          <w:trHeight w:val="284"/>
        </w:trPr>
        <w:tc>
          <w:tcPr>
            <w:tcW w:w="4848"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财务费用</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1,967,982,467.34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2,009,666,708.14 </w:t>
            </w:r>
          </w:p>
        </w:tc>
      </w:tr>
      <w:tr w:rsidR="00403CD6">
        <w:trPr>
          <w:trHeight w:val="284"/>
        </w:trPr>
        <w:tc>
          <w:tcPr>
            <w:tcW w:w="4848" w:type="dxa"/>
            <w:shd w:val="clear" w:color="auto" w:fill="D3D3D3"/>
            <w:vAlign w:val="center"/>
          </w:tcPr>
          <w:p w:rsidR="00403CD6" w:rsidRDefault="00E91A59">
            <w:pPr>
              <w:widowControl/>
              <w:ind w:firstLineChars="500" w:firstLine="90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其中：利息费用</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1,869,661,335.22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1,908,394,881.89 </w:t>
            </w:r>
          </w:p>
        </w:tc>
      </w:tr>
      <w:tr w:rsidR="00403CD6">
        <w:trPr>
          <w:trHeight w:val="284"/>
        </w:trPr>
        <w:tc>
          <w:tcPr>
            <w:tcW w:w="4848" w:type="dxa"/>
            <w:shd w:val="clear" w:color="auto" w:fill="D3D3D3"/>
            <w:vAlign w:val="center"/>
          </w:tcPr>
          <w:p w:rsidR="00403CD6" w:rsidRDefault="00E91A59">
            <w:pPr>
              <w:widowControl/>
              <w:ind w:firstLineChars="800" w:firstLine="14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利息收入</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182,479,117.53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201,101,017.34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加：其他收益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295,803,414.30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337,324,331.43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投资收益（损失以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-766,913,269.23</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505,067,035.78 </w:t>
            </w:r>
          </w:p>
        </w:tc>
      </w:tr>
      <w:tr w:rsidR="00403CD6">
        <w:trPr>
          <w:trHeight w:val="284"/>
        </w:trPr>
        <w:tc>
          <w:tcPr>
            <w:tcW w:w="4848" w:type="dxa"/>
            <w:shd w:val="clear" w:color="auto" w:fill="D3D3D3"/>
            <w:vAlign w:val="center"/>
          </w:tcPr>
          <w:p w:rsidR="00403CD6" w:rsidRDefault="00E91A59">
            <w:pPr>
              <w:widowControl/>
              <w:ind w:firstLineChars="500" w:firstLine="90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其中：对联营企业和合营企业的投资收益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-689,387,136.28</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128,934,922.00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以摊</w:t>
            </w:r>
            <w:proofErr w:type="gramStart"/>
            <w:r>
              <w:rPr>
                <w:rFonts w:ascii="Times New Roman" w:eastAsia="宋体" w:hAnsi="Times New Roman" w:cs="Times New Roman"/>
                <w:kern w:val="0"/>
                <w:sz w:val="18"/>
                <w:szCs w:val="18"/>
                <w:lang w:bidi="ar"/>
              </w:rPr>
              <w:t>余成本</w:t>
            </w:r>
            <w:proofErr w:type="gramEnd"/>
            <w:r>
              <w:rPr>
                <w:rFonts w:ascii="Times New Roman" w:eastAsia="宋体" w:hAnsi="Times New Roman" w:cs="Times New Roman"/>
                <w:kern w:val="0"/>
                <w:sz w:val="18"/>
                <w:szCs w:val="18"/>
                <w:lang w:bidi="ar"/>
              </w:rPr>
              <w:t>计量的金融资产终止确认收益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-101,812,317.04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-99,744,741.95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公允价值变动收益（损失以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-192,216,967.50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-25,555,304.50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信用减值损失（损失以</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-3,198,089,208.46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-319,956,249.39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资产减值损失（损失以</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-332,755,406.25</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-45,007,299.22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资产处置收益（损失以</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55,406,263.64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14,607,428.91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三、营业利润（亏损以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-7,820,734,574.51 </w:t>
            </w:r>
            <w:r>
              <w:rPr>
                <w:rFonts w:ascii="Times New Roman" w:eastAsia="宋体" w:hAnsi="Times New Roman" w:cs="Times New Roman"/>
                <w:kern w:val="0"/>
                <w:sz w:val="18"/>
                <w:szCs w:val="18"/>
                <w:lang w:bidi="ar"/>
              </w:rPr>
              <w:t xml:space="preserve">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-1,693,644,319.55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加：营业外收入</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5,147,637.71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2,998,769.41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减：营业外支出</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37,604,177.94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19,058,851.67 </w:t>
            </w:r>
          </w:p>
        </w:tc>
      </w:tr>
      <w:tr w:rsidR="00403CD6" w:rsidTr="008A7F3A">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四、利润总额（亏损总额以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-7,853,191,114.74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-1,709,704,401.81 </w:t>
            </w:r>
          </w:p>
        </w:tc>
      </w:tr>
      <w:tr w:rsidR="00403CD6" w:rsidTr="008A7F3A">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减：所得税费用</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-60,171,697.45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-383,061,983.95 </w:t>
            </w:r>
          </w:p>
        </w:tc>
      </w:tr>
      <w:tr w:rsidR="00403CD6" w:rsidTr="008A7F3A">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五、净利润（净亏损以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-7,793,019,417.29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-1,326,642,417.86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（一）按经营持续性分类</w:t>
            </w:r>
          </w:p>
        </w:tc>
        <w:tc>
          <w:tcPr>
            <w:tcW w:w="2387" w:type="dxa"/>
            <w:shd w:val="clear" w:color="auto" w:fill="D3D3D3"/>
            <w:vAlign w:val="center"/>
          </w:tcPr>
          <w:p w:rsidR="00403CD6" w:rsidRDefault="00403CD6">
            <w:pPr>
              <w:rPr>
                <w:rFonts w:ascii="Times New Roman" w:eastAsia="宋体" w:hAnsi="Times New Roman" w:cs="Times New Roman"/>
                <w:szCs w:val="21"/>
              </w:rPr>
            </w:pPr>
          </w:p>
        </w:tc>
        <w:tc>
          <w:tcPr>
            <w:tcW w:w="2375"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Style w:val="font31"/>
                <w:rFonts w:eastAsia="宋体"/>
                <w:color w:val="auto"/>
                <w:lang w:bidi="ar"/>
              </w:rPr>
              <w:t>1.</w:t>
            </w:r>
            <w:r>
              <w:rPr>
                <w:rFonts w:ascii="Times New Roman" w:eastAsia="宋体" w:hAnsi="Times New Roman" w:cs="Times New Roman"/>
                <w:kern w:val="0"/>
                <w:sz w:val="18"/>
                <w:szCs w:val="18"/>
                <w:lang w:bidi="ar"/>
              </w:rPr>
              <w:t>持续经营净利润（净亏损以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-7,793,019,417.29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-1,326,642,417.86 </w:t>
            </w:r>
          </w:p>
        </w:tc>
      </w:tr>
      <w:tr w:rsidR="00403CD6">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Style w:val="font31"/>
                <w:rFonts w:eastAsia="宋体"/>
                <w:color w:val="auto"/>
                <w:lang w:bidi="ar"/>
              </w:rPr>
              <w:t>2.</w:t>
            </w:r>
            <w:r>
              <w:rPr>
                <w:rFonts w:ascii="Times New Roman" w:eastAsia="宋体" w:hAnsi="Times New Roman" w:cs="Times New Roman"/>
                <w:kern w:val="0"/>
                <w:sz w:val="18"/>
                <w:szCs w:val="18"/>
                <w:lang w:bidi="ar"/>
              </w:rPr>
              <w:t>终止经营净利润（净亏损以</w:t>
            </w:r>
            <w:r>
              <w:rPr>
                <w:rStyle w:val="font31"/>
                <w:rFonts w:eastAsia="宋体"/>
                <w:color w:val="auto"/>
                <w:lang w:bidi="ar"/>
              </w:rPr>
              <w:t>“</w:t>
            </w:r>
            <w:r>
              <w:rPr>
                <w:rFonts w:ascii="Times New Roman" w:eastAsia="宋体" w:hAnsi="Times New Roman" w:cs="Times New Roman"/>
                <w:kern w:val="0"/>
                <w:sz w:val="18"/>
                <w:szCs w:val="18"/>
                <w:lang w:bidi="ar"/>
              </w:rPr>
              <w:t>－</w:t>
            </w:r>
            <w:r>
              <w:rPr>
                <w:rStyle w:val="font31"/>
                <w:rFonts w:eastAsia="宋体"/>
                <w:color w:val="auto"/>
                <w:lang w:bidi="ar"/>
              </w:rPr>
              <w:t>”</w:t>
            </w:r>
            <w:r>
              <w:rPr>
                <w:rFonts w:ascii="Times New Roman" w:eastAsia="宋体" w:hAnsi="Times New Roman" w:cs="Times New Roman"/>
                <w:kern w:val="0"/>
                <w:sz w:val="18"/>
                <w:szCs w:val="18"/>
                <w:lang w:bidi="ar"/>
              </w:rPr>
              <w:t>号填列）</w:t>
            </w:r>
          </w:p>
        </w:tc>
        <w:tc>
          <w:tcPr>
            <w:tcW w:w="238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23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（二）按所有权归属分类</w:t>
            </w:r>
          </w:p>
        </w:tc>
        <w:tc>
          <w:tcPr>
            <w:tcW w:w="2387" w:type="dxa"/>
            <w:shd w:val="clear" w:color="auto" w:fill="D3D3D3"/>
            <w:vAlign w:val="center"/>
          </w:tcPr>
          <w:p w:rsidR="00403CD6" w:rsidRDefault="00403CD6">
            <w:pPr>
              <w:rPr>
                <w:rFonts w:ascii="Times New Roman" w:eastAsia="宋体" w:hAnsi="Times New Roman" w:cs="Times New Roman"/>
                <w:szCs w:val="21"/>
              </w:rPr>
            </w:pPr>
          </w:p>
        </w:tc>
        <w:tc>
          <w:tcPr>
            <w:tcW w:w="2375" w:type="dxa"/>
            <w:shd w:val="clear" w:color="auto" w:fill="D3D3D3"/>
            <w:vAlign w:val="center"/>
          </w:tcPr>
          <w:p w:rsidR="00403CD6" w:rsidRDefault="00403CD6">
            <w:pPr>
              <w:rPr>
                <w:rFonts w:ascii="Times New Roman" w:eastAsia="宋体" w:hAnsi="Times New Roman" w:cs="Times New Roman"/>
                <w:szCs w:val="21"/>
              </w:rPr>
            </w:pPr>
          </w:p>
        </w:tc>
      </w:tr>
      <w:tr w:rsidR="00403CD6" w:rsidTr="008A7F3A">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Style w:val="font31"/>
                <w:rFonts w:eastAsia="宋体"/>
                <w:color w:val="auto"/>
                <w:lang w:bidi="ar"/>
              </w:rPr>
              <w:t>1.</w:t>
            </w:r>
            <w:r>
              <w:rPr>
                <w:rFonts w:ascii="Times New Roman" w:eastAsia="宋体" w:hAnsi="Times New Roman" w:cs="Times New Roman"/>
                <w:kern w:val="0"/>
                <w:sz w:val="18"/>
                <w:szCs w:val="18"/>
                <w:lang w:bidi="ar"/>
              </w:rPr>
              <w:t>归属于母公司股东的净利润</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-7,410,784,491.65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-1,281,289,649.82 </w:t>
            </w:r>
          </w:p>
        </w:tc>
      </w:tr>
      <w:tr w:rsidR="00403CD6" w:rsidTr="008A7F3A">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Style w:val="font31"/>
                <w:rFonts w:eastAsia="宋体"/>
                <w:color w:val="auto"/>
                <w:lang w:bidi="ar"/>
              </w:rPr>
              <w:t>2.</w:t>
            </w:r>
            <w:r>
              <w:rPr>
                <w:rFonts w:ascii="Times New Roman" w:eastAsia="宋体" w:hAnsi="Times New Roman" w:cs="Times New Roman"/>
                <w:kern w:val="0"/>
                <w:sz w:val="18"/>
                <w:szCs w:val="18"/>
                <w:lang w:bidi="ar"/>
              </w:rPr>
              <w:t>少数股东损益</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-382,234,925.64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-45,352,768.04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六、其他综合收益的税后净额</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-48,827,181.07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-42,940,794.51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归属母公司所有者的其他综合收益的税后净额</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-48,827,181.07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-42,940,794.51 </w:t>
            </w:r>
          </w:p>
        </w:tc>
      </w:tr>
      <w:tr w:rsidR="00403CD6">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（一）不能重分类进损益的其他综合收益</w:t>
            </w:r>
          </w:p>
        </w:tc>
        <w:tc>
          <w:tcPr>
            <w:tcW w:w="238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23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4"/>
        </w:trPr>
        <w:tc>
          <w:tcPr>
            <w:tcW w:w="4848" w:type="dxa"/>
            <w:shd w:val="clear" w:color="auto" w:fill="D3D3D3"/>
            <w:vAlign w:val="center"/>
          </w:tcPr>
          <w:p w:rsidR="00403CD6" w:rsidRDefault="00E91A59">
            <w:pPr>
              <w:widowControl/>
              <w:ind w:firstLineChars="200" w:firstLine="36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（二）将重分类进损益的其他综合收益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-48,827,181.07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-42,940,794.51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Style w:val="font31"/>
                <w:rFonts w:eastAsia="宋体"/>
                <w:color w:val="auto"/>
                <w:lang w:bidi="ar"/>
              </w:rPr>
              <w:lastRenderedPageBreak/>
              <w:t>1.</w:t>
            </w:r>
            <w:r>
              <w:rPr>
                <w:rFonts w:ascii="Times New Roman" w:eastAsia="宋体" w:hAnsi="Times New Roman" w:cs="Times New Roman"/>
                <w:kern w:val="0"/>
                <w:sz w:val="18"/>
                <w:szCs w:val="18"/>
                <w:lang w:bidi="ar"/>
              </w:rPr>
              <w:t>权益法下可转损益的其他综合收益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6,370,472.83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-1,224,007.02 </w:t>
            </w:r>
          </w:p>
        </w:tc>
      </w:tr>
      <w:tr w:rsidR="00403CD6">
        <w:trPr>
          <w:trHeight w:val="284"/>
        </w:trPr>
        <w:tc>
          <w:tcPr>
            <w:tcW w:w="4848"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Style w:val="font31"/>
                <w:rFonts w:eastAsia="宋体"/>
                <w:color w:val="auto"/>
                <w:lang w:bidi="ar"/>
              </w:rPr>
              <w:t>2.</w:t>
            </w:r>
            <w:r>
              <w:rPr>
                <w:rFonts w:ascii="Times New Roman" w:eastAsia="宋体" w:hAnsi="Times New Roman" w:cs="Times New Roman"/>
                <w:kern w:val="0"/>
                <w:sz w:val="18"/>
                <w:szCs w:val="18"/>
                <w:lang w:bidi="ar"/>
              </w:rPr>
              <w:t>外币财务报表折算差额</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-55,197,653.90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-41,716,787.49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归属于少数股东的其他综合收益的税后净额</w:t>
            </w:r>
          </w:p>
        </w:tc>
        <w:tc>
          <w:tcPr>
            <w:tcW w:w="238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23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rsidTr="008A7F3A">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七、综合收益总额</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-7,841,846,598.36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-1,369,583,212.37 </w:t>
            </w:r>
          </w:p>
        </w:tc>
      </w:tr>
      <w:tr w:rsidR="00403CD6" w:rsidTr="008A7F3A">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归属于母公司所有者的综合收益总额</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-7,459,611,672.72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-1,324,230,444.33 </w:t>
            </w:r>
          </w:p>
        </w:tc>
      </w:tr>
      <w:tr w:rsidR="00403CD6" w:rsidTr="008A7F3A">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归属于少数股东的综合收益总额</w:t>
            </w:r>
          </w:p>
        </w:tc>
        <w:tc>
          <w:tcPr>
            <w:tcW w:w="23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-382,234,925.64 </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-45,352,768.04 </w:t>
            </w:r>
          </w:p>
        </w:tc>
      </w:tr>
      <w:tr w:rsidR="00403CD6">
        <w:trPr>
          <w:trHeight w:val="284"/>
        </w:trPr>
        <w:tc>
          <w:tcPr>
            <w:tcW w:w="4848"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八、每股收益</w:t>
            </w:r>
          </w:p>
        </w:tc>
        <w:tc>
          <w:tcPr>
            <w:tcW w:w="2387" w:type="dxa"/>
            <w:shd w:val="clear" w:color="auto" w:fill="D3D3D3"/>
            <w:vAlign w:val="center"/>
          </w:tcPr>
          <w:p w:rsidR="00403CD6" w:rsidRDefault="00403CD6">
            <w:pPr>
              <w:rPr>
                <w:rFonts w:ascii="Times New Roman" w:eastAsia="宋体" w:hAnsi="Times New Roman" w:cs="Times New Roman"/>
                <w:szCs w:val="21"/>
              </w:rPr>
            </w:pPr>
          </w:p>
        </w:tc>
        <w:tc>
          <w:tcPr>
            <w:tcW w:w="2375" w:type="dxa"/>
            <w:shd w:val="clear" w:color="auto" w:fill="D3D3D3"/>
            <w:vAlign w:val="center"/>
          </w:tcPr>
          <w:p w:rsidR="00403CD6" w:rsidRDefault="00403CD6">
            <w:pPr>
              <w:rPr>
                <w:rFonts w:ascii="Times New Roman" w:eastAsia="宋体" w:hAnsi="Times New Roman" w:cs="Times New Roman"/>
                <w:szCs w:val="21"/>
              </w:rPr>
            </w:pP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（一）基本每股收益</w:t>
            </w:r>
          </w:p>
        </w:tc>
        <w:tc>
          <w:tcPr>
            <w:tcW w:w="23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hint="eastAsia"/>
                <w:kern w:val="0"/>
                <w:sz w:val="18"/>
                <w:szCs w:val="18"/>
                <w:lang w:bidi="ar"/>
              </w:rPr>
              <w:t>-2.53</w:t>
            </w:r>
          </w:p>
        </w:tc>
        <w:tc>
          <w:tcPr>
            <w:tcW w:w="23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-0.45 </w:t>
            </w:r>
          </w:p>
        </w:tc>
      </w:tr>
      <w:tr w:rsidR="00403CD6">
        <w:trPr>
          <w:trHeight w:val="284"/>
        </w:trPr>
        <w:tc>
          <w:tcPr>
            <w:tcW w:w="4848"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（二）稀释每股收益</w:t>
            </w:r>
          </w:p>
        </w:tc>
        <w:tc>
          <w:tcPr>
            <w:tcW w:w="238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hint="eastAsia"/>
                <w:kern w:val="0"/>
                <w:sz w:val="18"/>
                <w:szCs w:val="18"/>
                <w:lang w:bidi="ar"/>
              </w:rPr>
              <w:t>-2.53</w:t>
            </w:r>
          </w:p>
        </w:tc>
        <w:tc>
          <w:tcPr>
            <w:tcW w:w="2375" w:type="dxa"/>
            <w:shd w:val="clear" w:color="auto" w:fill="auto"/>
            <w:noWrap/>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-0.45</w:t>
            </w:r>
          </w:p>
        </w:tc>
      </w:tr>
    </w:tbl>
    <w:p w:rsidR="00403CD6" w:rsidRDefault="00E91A59">
      <w:pPr>
        <w:spacing w:before="40" w:after="40" w:line="240" w:lineRule="exact"/>
        <w:rPr>
          <w:rFonts w:ascii="黑体" w:eastAsia="黑体" w:hAnsi="黑体"/>
          <w:i/>
          <w:iCs/>
          <w:color w:val="DD5353"/>
          <w:szCs w:val="21"/>
        </w:rPr>
      </w:pPr>
      <w:r>
        <w:rPr>
          <w:rFonts w:ascii="Times New Roman" w:hAnsi="Times New Roman" w:cs="Times New Roman"/>
          <w:sz w:val="18"/>
          <w:szCs w:val="18"/>
        </w:rPr>
        <w:t>法定代表人：</w:t>
      </w:r>
      <w:r>
        <w:rPr>
          <w:rFonts w:ascii="Times New Roman" w:hAnsi="Times New Roman" w:cs="Times New Roman" w:hint="eastAsia"/>
          <w:sz w:val="18"/>
          <w:szCs w:val="18"/>
        </w:rPr>
        <w:t>胡长青</w:t>
      </w:r>
      <w:r>
        <w:rPr>
          <w:rFonts w:ascii="Times New Roman" w:hAnsi="Times New Roman" w:cs="Times New Roman"/>
          <w:sz w:val="18"/>
          <w:szCs w:val="18"/>
        </w:rPr>
        <w:t xml:space="preserve">                                              </w:t>
      </w:r>
      <w:r>
        <w:rPr>
          <w:rFonts w:ascii="Times New Roman" w:hAnsi="Times New Roman" w:cs="Times New Roman"/>
          <w:sz w:val="18"/>
          <w:szCs w:val="18"/>
        </w:rPr>
        <w:t>主管会计工作负责人：董连明</w:t>
      </w:r>
      <w:r>
        <w:rPr>
          <w:rFonts w:ascii="Times New Roman" w:hAnsi="Times New Roman" w:cs="Times New Roman"/>
          <w:sz w:val="18"/>
          <w:szCs w:val="18"/>
        </w:rPr>
        <w:t xml:space="preserve">                                 </w:t>
      </w:r>
      <w:r>
        <w:rPr>
          <w:rFonts w:ascii="Times New Roman" w:hAnsi="Times New Roman" w:cs="Times New Roman"/>
          <w:sz w:val="18"/>
          <w:szCs w:val="18"/>
        </w:rPr>
        <w:t>会计机构负责人：张波</w:t>
      </w:r>
      <w:bookmarkStart w:id="11" w:name="_Toc989060"/>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4</w:t>
      </w:r>
      <w:r>
        <w:rPr>
          <w:rFonts w:ascii="Times New Roman" w:eastAsiaTheme="minorEastAsia" w:hAnsi="Times New Roman" w:cs="Times New Roman"/>
          <w:sz w:val="21"/>
        </w:rPr>
        <w:t>、母公司利润表</w:t>
      </w:r>
      <w:bookmarkEnd w:id="11"/>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623"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5"/>
        <w:gridCol w:w="2313"/>
        <w:gridCol w:w="2325"/>
      </w:tblGrid>
      <w:tr w:rsidR="00403CD6">
        <w:trPr>
          <w:trHeight w:val="284"/>
        </w:trPr>
        <w:tc>
          <w:tcPr>
            <w:tcW w:w="4985"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项目</w:t>
            </w:r>
          </w:p>
        </w:tc>
        <w:tc>
          <w:tcPr>
            <w:tcW w:w="2313"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2024</w:t>
            </w:r>
            <w:r>
              <w:rPr>
                <w:rFonts w:ascii="Times New Roman" w:eastAsia="宋体" w:hAnsi="Times New Roman" w:cs="Times New Roman"/>
                <w:kern w:val="0"/>
                <w:sz w:val="18"/>
                <w:szCs w:val="18"/>
                <w:lang w:bidi="ar"/>
              </w:rPr>
              <w:t>年度</w:t>
            </w:r>
            <w:r>
              <w:rPr>
                <w:rFonts w:ascii="Times New Roman" w:eastAsia="宋体" w:hAnsi="Times New Roman" w:cs="Times New Roman"/>
                <w:kern w:val="0"/>
                <w:sz w:val="18"/>
                <w:szCs w:val="18"/>
                <w:lang w:bidi="ar"/>
              </w:rPr>
              <w:t xml:space="preserve"> </w:t>
            </w:r>
          </w:p>
        </w:tc>
        <w:tc>
          <w:tcPr>
            <w:tcW w:w="2325"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2023</w:t>
            </w:r>
            <w:r>
              <w:rPr>
                <w:rFonts w:ascii="Times New Roman" w:eastAsia="宋体" w:hAnsi="Times New Roman" w:cs="Times New Roman"/>
                <w:kern w:val="0"/>
                <w:sz w:val="18"/>
                <w:szCs w:val="18"/>
                <w:lang w:bidi="ar"/>
              </w:rPr>
              <w:t>年度</w:t>
            </w:r>
            <w:r>
              <w:rPr>
                <w:rFonts w:ascii="Times New Roman" w:eastAsia="宋体" w:hAnsi="Times New Roman" w:cs="Times New Roman"/>
                <w:kern w:val="0"/>
                <w:sz w:val="18"/>
                <w:szCs w:val="18"/>
                <w:lang w:bidi="ar"/>
              </w:rPr>
              <w:t xml:space="preserve"> </w:t>
            </w:r>
          </w:p>
        </w:tc>
      </w:tr>
      <w:tr w:rsidR="00403CD6">
        <w:trPr>
          <w:trHeight w:val="284"/>
        </w:trPr>
        <w:tc>
          <w:tcPr>
            <w:tcW w:w="4985"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一、营业收入</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7,475,506,782.76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7,579,414,619.45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减：营业成本</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7,120,576,791.83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7,176,479,930.73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税金及附加</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47,521,328.42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37,636,362.13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销售费用</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7,981,255.43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8,462,782.60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管理费用</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231,719,632.20 </w:t>
            </w:r>
            <w:r>
              <w:rPr>
                <w:rFonts w:ascii="Times New Roman" w:eastAsia="宋体" w:hAnsi="Times New Roman" w:cs="Times New Roman"/>
                <w:kern w:val="0"/>
                <w:sz w:val="18"/>
                <w:szCs w:val="18"/>
                <w:lang w:bidi="ar"/>
              </w:rPr>
              <w:t xml:space="preserve">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140,689,667.12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研发费用</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225,257,814.55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252,057,763.89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财务费用</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444,721,496.25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274,265,017.24 </w:t>
            </w:r>
          </w:p>
        </w:tc>
      </w:tr>
      <w:tr w:rsidR="00403CD6">
        <w:trPr>
          <w:trHeight w:val="284"/>
        </w:trPr>
        <w:tc>
          <w:tcPr>
            <w:tcW w:w="4985"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其中：利息费用</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553,965,331.86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469,512,534.61 </w:t>
            </w:r>
          </w:p>
        </w:tc>
      </w:tr>
      <w:tr w:rsidR="00403CD6">
        <w:trPr>
          <w:trHeight w:val="284"/>
        </w:trPr>
        <w:tc>
          <w:tcPr>
            <w:tcW w:w="4985" w:type="dxa"/>
            <w:shd w:val="clear" w:color="auto" w:fill="D3D3D3"/>
            <w:vAlign w:val="center"/>
          </w:tcPr>
          <w:p w:rsidR="00403CD6" w:rsidRDefault="00E91A59">
            <w:pPr>
              <w:widowControl/>
              <w:ind w:firstLineChars="700" w:firstLine="126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利息收入</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258,695,456.58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410,504,372.73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加：其他收益</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42,778,699.89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59,642,240.78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投资收益（损失以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-102,226,395.52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357,646,522.46 </w:t>
            </w:r>
          </w:p>
        </w:tc>
      </w:tr>
      <w:tr w:rsidR="00403CD6">
        <w:trPr>
          <w:trHeight w:val="284"/>
        </w:trPr>
        <w:tc>
          <w:tcPr>
            <w:tcW w:w="4985" w:type="dxa"/>
            <w:shd w:val="clear" w:color="auto" w:fill="D3D3D3"/>
            <w:vAlign w:val="center"/>
          </w:tcPr>
          <w:p w:rsidR="00403CD6" w:rsidRDefault="00E91A59">
            <w:pPr>
              <w:widowControl/>
              <w:ind w:firstLineChars="400" w:firstLine="72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其中：对联营企业和合营企业的投资收益</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-132,754,796.54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99,693,847.76 </w:t>
            </w:r>
          </w:p>
        </w:tc>
      </w:tr>
      <w:tr w:rsidR="00403CD6">
        <w:trPr>
          <w:trHeight w:val="284"/>
        </w:trPr>
        <w:tc>
          <w:tcPr>
            <w:tcW w:w="4985" w:type="dxa"/>
            <w:shd w:val="clear" w:color="auto" w:fill="D3D3D3"/>
            <w:vAlign w:val="center"/>
          </w:tcPr>
          <w:p w:rsidR="00403CD6" w:rsidRDefault="00E91A59">
            <w:pPr>
              <w:widowControl/>
              <w:ind w:firstLineChars="700" w:firstLine="126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以摊</w:t>
            </w:r>
            <w:proofErr w:type="gramStart"/>
            <w:r>
              <w:rPr>
                <w:rFonts w:ascii="Times New Roman" w:eastAsia="宋体" w:hAnsi="Times New Roman" w:cs="Times New Roman"/>
                <w:kern w:val="0"/>
                <w:sz w:val="18"/>
                <w:szCs w:val="18"/>
                <w:lang w:bidi="ar"/>
              </w:rPr>
              <w:t>余成本</w:t>
            </w:r>
            <w:proofErr w:type="gramEnd"/>
            <w:r>
              <w:rPr>
                <w:rFonts w:ascii="Times New Roman" w:eastAsia="宋体" w:hAnsi="Times New Roman" w:cs="Times New Roman"/>
                <w:kern w:val="0"/>
                <w:sz w:val="18"/>
                <w:szCs w:val="18"/>
                <w:lang w:bidi="ar"/>
              </w:rPr>
              <w:t>计量的金融资产终止确认收益（损失以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-17,770,062.57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-47,421,175.71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公允价值变动收益（损失以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-19,950,000.00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310,000.00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信用减值损失（损失以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-2,353,308.15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-8,773,992.60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资产减值损失（损失以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-7,210,153.16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-16,979,924.08 </w:t>
            </w:r>
          </w:p>
        </w:tc>
      </w:tr>
      <w:tr w:rsidR="00403CD6">
        <w:trPr>
          <w:trHeight w:val="284"/>
        </w:trPr>
        <w:tc>
          <w:tcPr>
            <w:tcW w:w="4985" w:type="dxa"/>
            <w:shd w:val="clear" w:color="auto" w:fill="D3D3D3"/>
            <w:vAlign w:val="center"/>
          </w:tcPr>
          <w:p w:rsidR="00403CD6" w:rsidRDefault="00E91A59">
            <w:pPr>
              <w:widowControl/>
              <w:ind w:firstLineChars="300" w:firstLine="54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资产处置收益（损失以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28,004,223.70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-21,301,396.27 </w:t>
            </w:r>
          </w:p>
        </w:tc>
      </w:tr>
      <w:tr w:rsidR="00403CD6">
        <w:trPr>
          <w:trHeight w:val="284"/>
        </w:trPr>
        <w:tc>
          <w:tcPr>
            <w:tcW w:w="4985"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二、营业利润（亏损以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sidRPr="008A7F3A">
              <w:rPr>
                <w:rFonts w:ascii="Times New Roman" w:eastAsia="宋体" w:hAnsi="Times New Roman" w:cs="Times New Roman"/>
                <w:kern w:val="0"/>
                <w:sz w:val="18"/>
                <w:szCs w:val="18"/>
                <w:lang w:bidi="ar"/>
              </w:rPr>
              <w:t xml:space="preserve"> -663,228,469.16 </w:t>
            </w:r>
            <w:r>
              <w:rPr>
                <w:rFonts w:ascii="Times New Roman" w:eastAsia="宋体" w:hAnsi="Times New Roman" w:cs="Times New Roman"/>
                <w:kern w:val="0"/>
                <w:sz w:val="18"/>
                <w:szCs w:val="18"/>
                <w:lang w:bidi="ar"/>
              </w:rPr>
              <w:t xml:space="preserve">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60,366,546.03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加：营业外收入</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1,258,032.61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541,593.38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减：营业外支出</w:t>
            </w:r>
          </w:p>
        </w:tc>
        <w:tc>
          <w:tcPr>
            <w:tcW w:w="2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22,117,596.59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7,382,596.72 </w:t>
            </w:r>
          </w:p>
        </w:tc>
      </w:tr>
      <w:tr w:rsidR="00403CD6">
        <w:trPr>
          <w:trHeight w:val="284"/>
        </w:trPr>
        <w:tc>
          <w:tcPr>
            <w:tcW w:w="4985"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三、利润总额（亏损总额以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-684,088,033.14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53,525,542.69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减：所得税费用</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-16,337,901.00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-53,023,500.87 </w:t>
            </w:r>
          </w:p>
        </w:tc>
      </w:tr>
      <w:tr w:rsidR="00403CD6">
        <w:trPr>
          <w:trHeight w:val="284"/>
        </w:trPr>
        <w:tc>
          <w:tcPr>
            <w:tcW w:w="4985"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四、净利润（净亏损以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106,549,043.56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（一）持续经营净利润（净亏损以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106,549,043.56 </w:t>
            </w:r>
          </w:p>
        </w:tc>
      </w:tr>
      <w:tr w:rsidR="00403CD6">
        <w:trPr>
          <w:trHeight w:val="284"/>
        </w:trPr>
        <w:tc>
          <w:tcPr>
            <w:tcW w:w="4985" w:type="dxa"/>
            <w:shd w:val="clear" w:color="auto" w:fill="D3D3D3"/>
            <w:vAlign w:val="center"/>
          </w:tcPr>
          <w:p w:rsidR="00403CD6" w:rsidRDefault="00E91A59">
            <w:pPr>
              <w:widowControl/>
              <w:ind w:firstLineChars="100" w:firstLine="180"/>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（二）终止经营净利润（净亏损以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Pr>
                <w:rFonts w:ascii="Times New Roman" w:eastAsia="宋体" w:hAnsi="Times New Roman" w:cs="Times New Roman"/>
                <w:kern w:val="0"/>
                <w:sz w:val="18"/>
                <w:szCs w:val="18"/>
                <w:lang w:bidi="ar"/>
              </w:rPr>
              <w:t>-</w:t>
            </w:r>
          </w:p>
        </w:tc>
        <w:tc>
          <w:tcPr>
            <w:tcW w:w="2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r>
      <w:tr w:rsidR="00403CD6">
        <w:trPr>
          <w:trHeight w:val="284"/>
        </w:trPr>
        <w:tc>
          <w:tcPr>
            <w:tcW w:w="4985"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五、综合收益总额</w:t>
            </w:r>
          </w:p>
        </w:tc>
        <w:tc>
          <w:tcPr>
            <w:tcW w:w="231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c>
          <w:tcPr>
            <w:tcW w:w="2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106,549,043.56 </w:t>
            </w:r>
          </w:p>
        </w:tc>
      </w:tr>
    </w:tbl>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5</w:t>
      </w:r>
      <w:r>
        <w:rPr>
          <w:rFonts w:ascii="Times New Roman" w:eastAsiaTheme="minorEastAsia" w:hAnsi="Times New Roman" w:cs="Times New Roman"/>
          <w:sz w:val="21"/>
        </w:rPr>
        <w:t>、合并现金流量表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131"/>
        <w:gridCol w:w="2257"/>
        <w:gridCol w:w="2257"/>
      </w:tblGrid>
      <w:tr w:rsidR="00403CD6">
        <w:trPr>
          <w:trHeight w:val="284"/>
        </w:trPr>
        <w:tc>
          <w:tcPr>
            <w:tcW w:w="5131" w:type="dxa"/>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257" w:type="dxa"/>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2024</w:t>
            </w:r>
            <w:r>
              <w:rPr>
                <w:rFonts w:ascii="Times New Roman" w:eastAsia="宋体" w:hAnsi="Times New Roman" w:cs="Times New Roman"/>
                <w:sz w:val="18"/>
                <w:szCs w:val="18"/>
              </w:rPr>
              <w:t>年度</w:t>
            </w:r>
          </w:p>
        </w:tc>
        <w:tc>
          <w:tcPr>
            <w:tcW w:w="2257" w:type="dxa"/>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2023</w:t>
            </w:r>
            <w:r>
              <w:rPr>
                <w:rFonts w:ascii="Times New Roman" w:eastAsia="宋体" w:hAnsi="Times New Roman" w:cs="Times New Roman"/>
                <w:sz w:val="18"/>
                <w:szCs w:val="18"/>
              </w:rPr>
              <w:t>年度</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一、经营活动产生的现金流量：</w:t>
            </w:r>
          </w:p>
        </w:tc>
        <w:tc>
          <w:tcPr>
            <w:tcW w:w="2257" w:type="dxa"/>
            <w:shd w:val="clear" w:color="auto" w:fill="D3D3D3"/>
            <w:vAlign w:val="center"/>
          </w:tcPr>
          <w:p w:rsidR="00403CD6" w:rsidRDefault="00403CD6">
            <w:pPr>
              <w:rPr>
                <w:rFonts w:ascii="Times New Roman" w:hAnsi="Times New Roman" w:cs="Times New Roman"/>
              </w:rPr>
            </w:pPr>
          </w:p>
        </w:tc>
        <w:tc>
          <w:tcPr>
            <w:tcW w:w="2257" w:type="dxa"/>
            <w:shd w:val="clear" w:color="auto" w:fill="D3D3D3"/>
            <w:vAlign w:val="center"/>
          </w:tcPr>
          <w:p w:rsidR="00403CD6" w:rsidRDefault="00403CD6">
            <w:pPr>
              <w:rPr>
                <w:rFonts w:ascii="Times New Roman" w:hAnsi="Times New Roman" w:cs="Times New Roman"/>
              </w:rPr>
            </w:pP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销售商品、提供劳务收到的现金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23,237,707,950.05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27,966,458,590.37 </w:t>
            </w:r>
          </w:p>
        </w:tc>
      </w:tr>
      <w:tr w:rsidR="00403CD6">
        <w:trPr>
          <w:trHeight w:val="284"/>
        </w:trPr>
        <w:tc>
          <w:tcPr>
            <w:tcW w:w="5131" w:type="dxa"/>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收到的税费返还</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11,658,499.79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167,475,052.87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收到其他与经营活动有关的现金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524,854,825.25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1,031,185,120.95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经营活动现金流入小计</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23,774,221,275.09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29,165,118,764.19 </w:t>
            </w:r>
          </w:p>
        </w:tc>
      </w:tr>
      <w:tr w:rsidR="00403CD6">
        <w:trPr>
          <w:trHeight w:val="284"/>
        </w:trPr>
        <w:tc>
          <w:tcPr>
            <w:tcW w:w="5131" w:type="dxa"/>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购买商品、接受劳务支付的现金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18,151,509,011.53</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20,996,101,741.25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支付给职工以及为职工支付的现金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1,144,326,678.52</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1,355,503,347.12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支付的各项税费</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429,650,083.60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866,089,499.58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支付其他与经营活动有关的现金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1,425,543,836.84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1,557,474,867.42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经营活动现金流出小计</w:t>
            </w:r>
          </w:p>
        </w:tc>
        <w:tc>
          <w:tcPr>
            <w:tcW w:w="2257" w:type="dxa"/>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21,151,029,610.49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24,775,169,455.37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经营活动产生的现金流量净额</w:t>
            </w:r>
          </w:p>
        </w:tc>
        <w:tc>
          <w:tcPr>
            <w:tcW w:w="2257" w:type="dxa"/>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2,623,191,664.60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4,389,949,308.82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二、投资活动产生的现金流量：</w:t>
            </w:r>
          </w:p>
        </w:tc>
        <w:tc>
          <w:tcPr>
            <w:tcW w:w="2257" w:type="dxa"/>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c>
          <w:tcPr>
            <w:tcW w:w="2257" w:type="dxa"/>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收回投资收到的现金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7,305,395.37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1,598,737.43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取得投资收益收到的现金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3,574,134.20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66,558,010.99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处置固定资产、无形资产和其他长期资产收回的现金净额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20,427,346.14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210,115,150.25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处置子公司及其他营业单位收到的现金净额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503,938,946.58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99,329,954.44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收到其他与投资活动有关的现金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投资活动现金流入小计</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535,245,822.29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377,601,853.11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购建固定资产、无形资产和其他长期资产支付的现金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69,444,183.34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314,376,125.86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取得子公司及其他营业单位支付的现金净额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4,934,751.03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支付其他与投资活动有关的现金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投资活动现金流出小计</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69,444,183.34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319,310,876.89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投资活动产生的现金流量净额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465,801,638.95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58,290,976.22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三、筹资活动产生的现金流量：</w:t>
            </w:r>
          </w:p>
        </w:tc>
        <w:tc>
          <w:tcPr>
            <w:tcW w:w="2257" w:type="dxa"/>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c>
          <w:tcPr>
            <w:tcW w:w="2257" w:type="dxa"/>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吸收投资收到的现金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300,000,000.00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其中：子公司吸收少数股东投资收到的现金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300,000,000.00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取得借款收到的现金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27,224,432,497.83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32,279,984,571.38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收到其他与筹资活动有关的现金</w:t>
            </w:r>
          </w:p>
        </w:tc>
        <w:tc>
          <w:tcPr>
            <w:tcW w:w="2257" w:type="dxa"/>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6,838,493,318.93</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2,697,290,383.69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筹资活动现金流入小计</w:t>
            </w:r>
          </w:p>
        </w:tc>
        <w:tc>
          <w:tcPr>
            <w:tcW w:w="2257" w:type="dxa"/>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34,062,925,816.76</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35,277,274,955.07 </w:t>
            </w:r>
          </w:p>
        </w:tc>
      </w:tr>
      <w:tr w:rsidR="00403CD6">
        <w:trPr>
          <w:trHeight w:val="284"/>
        </w:trPr>
        <w:tc>
          <w:tcPr>
            <w:tcW w:w="5131" w:type="dxa"/>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偿还债务支付的现金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33,203,238,743.18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34,204,285,275.28 </w:t>
            </w:r>
          </w:p>
        </w:tc>
      </w:tr>
      <w:tr w:rsidR="00403CD6">
        <w:trPr>
          <w:trHeight w:val="284"/>
        </w:trPr>
        <w:tc>
          <w:tcPr>
            <w:tcW w:w="5131" w:type="dxa"/>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分配股利、利润或偿付利息支付的现金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1,921,902,301.87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2,244,930,422.38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其中：子公司支付给少数股东的股利、利润</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254,313,617.44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支付其他与筹资活动有关的现金</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2,662,705,748.14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4,611,801,356.33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筹资活动现金流出小计</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37,787,846,793.19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41,061,017,053.99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筹资活动产生的现金流量净额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-3,724,920,976.43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-5,783,742,098.92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四、汇率变动对现金及现金等价物的影响</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23,637,176.58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-59,724,593.02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五、现金及现金等价物净增加额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-612,290,496.30</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-1,395,226,406.90 </w:t>
            </w:r>
          </w:p>
        </w:tc>
      </w:tr>
      <w:tr w:rsidR="00403CD6">
        <w:trPr>
          <w:trHeight w:val="284"/>
        </w:trPr>
        <w:tc>
          <w:tcPr>
            <w:tcW w:w="5131" w:type="dxa"/>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加：期初现金及现金等价物余额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764,233,742.61 </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2,159,460,149.51 </w:t>
            </w:r>
          </w:p>
        </w:tc>
      </w:tr>
      <w:tr w:rsidR="00403CD6">
        <w:trPr>
          <w:trHeight w:val="284"/>
        </w:trPr>
        <w:tc>
          <w:tcPr>
            <w:tcW w:w="5131" w:type="dxa"/>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六、期末现金及现金等价物余额</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151,943,246.31</w:t>
            </w:r>
          </w:p>
        </w:tc>
        <w:tc>
          <w:tcPr>
            <w:tcW w:w="225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764,233,742.61 </w:t>
            </w:r>
          </w:p>
        </w:tc>
      </w:tr>
    </w:tbl>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6</w:t>
      </w:r>
      <w:r>
        <w:rPr>
          <w:rFonts w:ascii="Times New Roman" w:eastAsiaTheme="minorEastAsia" w:hAnsi="Times New Roman" w:cs="Times New Roman"/>
          <w:sz w:val="21"/>
        </w:rPr>
        <w:t>、母公司现金流量表</w:t>
      </w:r>
    </w:p>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131"/>
        <w:gridCol w:w="2282"/>
        <w:gridCol w:w="2280"/>
      </w:tblGrid>
      <w:tr w:rsidR="00403CD6">
        <w:trPr>
          <w:trHeight w:val="284"/>
        </w:trPr>
        <w:tc>
          <w:tcPr>
            <w:tcW w:w="2647" w:type="pct"/>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177" w:type="pct"/>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2024</w:t>
            </w:r>
            <w:r>
              <w:rPr>
                <w:rFonts w:ascii="Times New Roman" w:eastAsia="宋体" w:hAnsi="Times New Roman" w:cs="Times New Roman"/>
                <w:sz w:val="18"/>
                <w:szCs w:val="18"/>
              </w:rPr>
              <w:t>年度</w:t>
            </w:r>
          </w:p>
        </w:tc>
        <w:tc>
          <w:tcPr>
            <w:tcW w:w="1176" w:type="pct"/>
            <w:shd w:val="clear" w:color="auto" w:fill="D3D3D3"/>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2023</w:t>
            </w:r>
            <w:r>
              <w:rPr>
                <w:rFonts w:ascii="Times New Roman" w:eastAsia="宋体" w:hAnsi="Times New Roman" w:cs="Times New Roman"/>
                <w:sz w:val="18"/>
                <w:szCs w:val="18"/>
              </w:rPr>
              <w:t>年度</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一、经营活动产生的现金流量：</w:t>
            </w:r>
          </w:p>
        </w:tc>
        <w:tc>
          <w:tcPr>
            <w:tcW w:w="1177" w:type="pct"/>
            <w:shd w:val="clear" w:color="auto" w:fill="D3D3D3"/>
            <w:vAlign w:val="center"/>
          </w:tcPr>
          <w:p w:rsidR="00403CD6" w:rsidRDefault="00403CD6">
            <w:pPr>
              <w:rPr>
                <w:rFonts w:ascii="Times New Roman" w:hAnsi="Times New Roman" w:cs="Times New Roman"/>
              </w:rPr>
            </w:pPr>
          </w:p>
        </w:tc>
        <w:tc>
          <w:tcPr>
            <w:tcW w:w="1176"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销售商品、提供劳务收到的现金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8,469,958,914.03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8,501,405,410.34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收到的税费返还</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10,186,261.55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lastRenderedPageBreak/>
              <w:t>收到其他与经营活动有关的现金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225,099,137.16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455,821,934.12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经营活动现金流入小计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8,695,058,051.19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8,967,413,606.01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购买商品、接受劳务支付的现金</w:t>
            </w:r>
          </w:p>
        </w:tc>
        <w:tc>
          <w:tcPr>
            <w:tcW w:w="1177"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7,516,008,175.22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7,495,797,116.97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支付给职工以及为职工支付的现金</w:t>
            </w:r>
          </w:p>
        </w:tc>
        <w:tc>
          <w:tcPr>
            <w:tcW w:w="1177"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292,646,483.16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337,462,560.61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支付的各项税费</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37,515,271.04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53,252,740.71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支付其他与经营活动有关的现金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314,026,900.98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474,578,098.99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经营活动现金流出小计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8,160,196,830.40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8,361,090,517.28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经营活动产生的现金流量净额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534,861,220.79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606,323,088.73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二、投资活动产生的现金流量：</w:t>
            </w:r>
          </w:p>
        </w:tc>
        <w:tc>
          <w:tcPr>
            <w:tcW w:w="1177"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c>
          <w:tcPr>
            <w:tcW w:w="1176"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收回投资收到的现金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387,305,395.37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147,471,372.61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取得投资收益收到的现金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143,198,463.59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112,467,060.62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处置固定资产、无形资产和其他长期资产收回的现金净额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19,188,807.14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40,668,050.26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处置子公司及其他营业单位收到的现金净额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收到其他与投资活动有关的现金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投资活动现金流入小计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549,692,666.10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300,606,483.49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购建固定资产、无形资产和其他长期资产支付的现金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8,324,093.92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20,519,612.30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支付其他与投资活动有关的现金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投资活动现金流出小计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8,324,093.92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20,519,612.30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投资活动产生的现金流量净额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541,368,572.18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280,086,871.19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三、筹资活动产生的现金流量：</w:t>
            </w:r>
          </w:p>
        </w:tc>
        <w:tc>
          <w:tcPr>
            <w:tcW w:w="1177"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c>
          <w:tcPr>
            <w:tcW w:w="1176"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 w:val="18"/>
                <w:szCs w:val="18"/>
              </w:rPr>
              <w:t xml:space="preserve">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吸收投资收到的现金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取得借款收到的现金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14,145,974,981.53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19,258,041,006.64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收到其他与筹资活动有关的现金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2,488,411,858.25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1,590,113,157.73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筹资活动现金流入小计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16,634,386,839.78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20,848,154,164.37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偿还债务支付的现金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17,030,448,289.24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19,259,308,611.34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分配股利、利润或偿付利息支付的现金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407,710,636.83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471,489,436.79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支付其他与筹资活动有关的现金</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622,627,667.95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1,880,449,249.46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筹资活动现金流出小计</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18,060,786,594.02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21,611,247,297.59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筹资活动产生的现金流量净额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-1,426,399,754.24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-763,093,133.22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四、汇率变动对现金及现金等价物的影响</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-348,158.85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-6,501,936.29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五、现金及现金等价物净增加额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-350,518,120.12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116,814,890.41 </w:t>
            </w:r>
          </w:p>
        </w:tc>
      </w:tr>
      <w:tr w:rsidR="00403CD6">
        <w:trPr>
          <w:trHeight w:val="284"/>
        </w:trPr>
        <w:tc>
          <w:tcPr>
            <w:tcW w:w="2647" w:type="pct"/>
            <w:shd w:val="clear" w:color="auto" w:fill="D3D3D3"/>
            <w:vAlign w:val="center"/>
          </w:tcPr>
          <w:p w:rsidR="00403CD6" w:rsidRDefault="00E91A59">
            <w:pPr>
              <w:spacing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加：期初现金及现金等价物余额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350,786,839.40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233,971,948.99 </w:t>
            </w:r>
          </w:p>
        </w:tc>
      </w:tr>
      <w:tr w:rsidR="00403CD6">
        <w:trPr>
          <w:trHeight w:val="284"/>
        </w:trPr>
        <w:tc>
          <w:tcPr>
            <w:tcW w:w="2647" w:type="pct"/>
            <w:shd w:val="clear" w:color="auto" w:fill="D3D3D3"/>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六、期末现金及现金等价物余额</w:t>
            </w:r>
          </w:p>
        </w:tc>
        <w:tc>
          <w:tcPr>
            <w:tcW w:w="11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268,719.28 </w:t>
            </w:r>
          </w:p>
        </w:tc>
        <w:tc>
          <w:tcPr>
            <w:tcW w:w="11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350,786,839.40 </w:t>
            </w:r>
          </w:p>
        </w:tc>
      </w:tr>
    </w:tbl>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7</w:t>
      </w:r>
      <w:r>
        <w:rPr>
          <w:rFonts w:ascii="Times New Roman" w:eastAsiaTheme="minorEastAsia" w:hAnsi="Times New Roman" w:cs="Times New Roman"/>
          <w:sz w:val="21"/>
        </w:rPr>
        <w:t>、合并所有者权益变动表</w:t>
      </w:r>
    </w:p>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本期金额</w:t>
      </w:r>
    </w:p>
    <w:p w:rsidR="00403CD6" w:rsidRDefault="00E91A59">
      <w:pPr>
        <w:spacing w:before="120" w:after="12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单位：元</w:t>
      </w:r>
    </w:p>
    <w:tbl>
      <w:tblPr>
        <w:tblW w:w="9760"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860"/>
        <w:gridCol w:w="675"/>
        <w:gridCol w:w="313"/>
        <w:gridCol w:w="325"/>
        <w:gridCol w:w="350"/>
        <w:gridCol w:w="737"/>
        <w:gridCol w:w="638"/>
        <w:gridCol w:w="675"/>
        <w:gridCol w:w="825"/>
        <w:gridCol w:w="650"/>
        <w:gridCol w:w="737"/>
        <w:gridCol w:w="750"/>
        <w:gridCol w:w="800"/>
        <w:gridCol w:w="725"/>
        <w:gridCol w:w="700"/>
      </w:tblGrid>
      <w:tr w:rsidR="00403CD6">
        <w:trPr>
          <w:trHeight w:val="284"/>
        </w:trPr>
        <w:tc>
          <w:tcPr>
            <w:tcW w:w="860"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项目</w:t>
            </w:r>
          </w:p>
        </w:tc>
        <w:tc>
          <w:tcPr>
            <w:tcW w:w="8900" w:type="dxa"/>
            <w:gridSpan w:val="14"/>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Style w:val="font41"/>
                <w:rFonts w:eastAsia="宋体"/>
                <w:color w:val="auto"/>
                <w:lang w:bidi="ar"/>
              </w:rPr>
              <w:t>2024</w:t>
            </w:r>
            <w:r>
              <w:rPr>
                <w:rFonts w:ascii="宋体" w:eastAsia="宋体" w:hAnsi="宋体" w:cs="宋体" w:hint="eastAsia"/>
                <w:kern w:val="0"/>
                <w:sz w:val="18"/>
                <w:szCs w:val="18"/>
                <w:lang w:bidi="ar"/>
              </w:rPr>
              <w:t>年度</w:t>
            </w:r>
          </w:p>
        </w:tc>
      </w:tr>
      <w:tr w:rsidR="00403CD6">
        <w:trPr>
          <w:trHeight w:val="284"/>
        </w:trPr>
        <w:tc>
          <w:tcPr>
            <w:tcW w:w="860" w:type="dxa"/>
            <w:vMerge/>
            <w:shd w:val="clear" w:color="auto" w:fill="D3D3D3"/>
            <w:vAlign w:val="center"/>
          </w:tcPr>
          <w:p w:rsidR="00403CD6" w:rsidRDefault="00403CD6">
            <w:pPr>
              <w:jc w:val="center"/>
              <w:rPr>
                <w:rFonts w:ascii="宋体" w:eastAsia="宋体" w:hAnsi="宋体" w:cs="宋体"/>
                <w:sz w:val="18"/>
                <w:szCs w:val="18"/>
              </w:rPr>
            </w:pPr>
          </w:p>
        </w:tc>
        <w:tc>
          <w:tcPr>
            <w:tcW w:w="7475" w:type="dxa"/>
            <w:gridSpan w:val="12"/>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归属于母公司所有者权益</w:t>
            </w:r>
          </w:p>
        </w:tc>
        <w:tc>
          <w:tcPr>
            <w:tcW w:w="725"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少数股东权益</w:t>
            </w:r>
          </w:p>
        </w:tc>
        <w:tc>
          <w:tcPr>
            <w:tcW w:w="700"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所有者权益合计</w:t>
            </w:r>
          </w:p>
        </w:tc>
      </w:tr>
      <w:tr w:rsidR="00403CD6">
        <w:trPr>
          <w:trHeight w:val="284"/>
        </w:trPr>
        <w:tc>
          <w:tcPr>
            <w:tcW w:w="860" w:type="dxa"/>
            <w:vMerge/>
            <w:shd w:val="clear" w:color="auto" w:fill="D3D3D3"/>
            <w:vAlign w:val="center"/>
          </w:tcPr>
          <w:p w:rsidR="00403CD6" w:rsidRDefault="00403CD6">
            <w:pPr>
              <w:jc w:val="center"/>
              <w:rPr>
                <w:rFonts w:ascii="宋体" w:eastAsia="宋体" w:hAnsi="宋体" w:cs="宋体"/>
                <w:sz w:val="18"/>
                <w:szCs w:val="18"/>
              </w:rPr>
            </w:pPr>
          </w:p>
        </w:tc>
        <w:tc>
          <w:tcPr>
            <w:tcW w:w="675"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股本</w:t>
            </w:r>
          </w:p>
        </w:tc>
        <w:tc>
          <w:tcPr>
            <w:tcW w:w="988" w:type="dxa"/>
            <w:gridSpan w:val="3"/>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其他权益工具</w:t>
            </w:r>
          </w:p>
        </w:tc>
        <w:tc>
          <w:tcPr>
            <w:tcW w:w="737"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资本公积</w:t>
            </w:r>
          </w:p>
        </w:tc>
        <w:tc>
          <w:tcPr>
            <w:tcW w:w="638"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减：库存股</w:t>
            </w:r>
          </w:p>
        </w:tc>
        <w:tc>
          <w:tcPr>
            <w:tcW w:w="675"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其他综合收益</w:t>
            </w:r>
          </w:p>
        </w:tc>
        <w:tc>
          <w:tcPr>
            <w:tcW w:w="825"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专项储备</w:t>
            </w:r>
          </w:p>
        </w:tc>
        <w:tc>
          <w:tcPr>
            <w:tcW w:w="650"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盈余公积</w:t>
            </w:r>
          </w:p>
        </w:tc>
        <w:tc>
          <w:tcPr>
            <w:tcW w:w="737"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一般风险准备</w:t>
            </w:r>
          </w:p>
        </w:tc>
        <w:tc>
          <w:tcPr>
            <w:tcW w:w="750"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未分配利润</w:t>
            </w:r>
          </w:p>
        </w:tc>
        <w:tc>
          <w:tcPr>
            <w:tcW w:w="800" w:type="dxa"/>
            <w:vMerge w:val="restart"/>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小计</w:t>
            </w:r>
          </w:p>
        </w:tc>
        <w:tc>
          <w:tcPr>
            <w:tcW w:w="725" w:type="dxa"/>
            <w:vMerge/>
            <w:shd w:val="clear" w:color="auto" w:fill="D3D3D3"/>
            <w:vAlign w:val="center"/>
          </w:tcPr>
          <w:p w:rsidR="00403CD6" w:rsidRDefault="00403CD6">
            <w:pPr>
              <w:jc w:val="center"/>
              <w:rPr>
                <w:rFonts w:ascii="宋体" w:eastAsia="宋体" w:hAnsi="宋体" w:cs="宋体"/>
                <w:sz w:val="18"/>
                <w:szCs w:val="18"/>
              </w:rPr>
            </w:pPr>
          </w:p>
        </w:tc>
        <w:tc>
          <w:tcPr>
            <w:tcW w:w="700" w:type="dxa"/>
            <w:vMerge/>
            <w:shd w:val="clear" w:color="auto" w:fill="D3D3D3"/>
            <w:vAlign w:val="center"/>
          </w:tcPr>
          <w:p w:rsidR="00403CD6" w:rsidRDefault="00403CD6">
            <w:pPr>
              <w:jc w:val="center"/>
              <w:rPr>
                <w:rFonts w:ascii="宋体" w:eastAsia="宋体" w:hAnsi="宋体" w:cs="宋体"/>
                <w:sz w:val="18"/>
                <w:szCs w:val="18"/>
              </w:rPr>
            </w:pPr>
          </w:p>
        </w:tc>
      </w:tr>
      <w:tr w:rsidR="00403CD6">
        <w:trPr>
          <w:trHeight w:val="284"/>
        </w:trPr>
        <w:tc>
          <w:tcPr>
            <w:tcW w:w="860" w:type="dxa"/>
            <w:vMerge/>
            <w:shd w:val="clear" w:color="auto" w:fill="D3D3D3"/>
            <w:vAlign w:val="center"/>
          </w:tcPr>
          <w:p w:rsidR="00403CD6" w:rsidRDefault="00403CD6">
            <w:pPr>
              <w:jc w:val="center"/>
              <w:rPr>
                <w:rFonts w:ascii="宋体" w:eastAsia="宋体" w:hAnsi="宋体" w:cs="宋体"/>
                <w:sz w:val="18"/>
                <w:szCs w:val="18"/>
              </w:rPr>
            </w:pPr>
          </w:p>
        </w:tc>
        <w:tc>
          <w:tcPr>
            <w:tcW w:w="675" w:type="dxa"/>
            <w:vMerge/>
            <w:shd w:val="clear" w:color="auto" w:fill="D3D3D3"/>
            <w:vAlign w:val="center"/>
          </w:tcPr>
          <w:p w:rsidR="00403CD6" w:rsidRDefault="00403CD6">
            <w:pPr>
              <w:jc w:val="center"/>
              <w:rPr>
                <w:rFonts w:ascii="宋体" w:eastAsia="宋体" w:hAnsi="宋体" w:cs="宋体"/>
                <w:sz w:val="18"/>
                <w:szCs w:val="18"/>
              </w:rPr>
            </w:pPr>
          </w:p>
        </w:tc>
        <w:tc>
          <w:tcPr>
            <w:tcW w:w="313"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优先股</w:t>
            </w:r>
          </w:p>
        </w:tc>
        <w:tc>
          <w:tcPr>
            <w:tcW w:w="325"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永续债</w:t>
            </w:r>
          </w:p>
        </w:tc>
        <w:tc>
          <w:tcPr>
            <w:tcW w:w="350" w:type="dxa"/>
            <w:shd w:val="clear" w:color="auto" w:fill="D3D3D3"/>
            <w:vAlign w:val="center"/>
          </w:tcPr>
          <w:p w:rsidR="00403CD6" w:rsidRDefault="00E91A59">
            <w:pPr>
              <w:widowControl/>
              <w:jc w:val="center"/>
              <w:textAlignment w:val="center"/>
              <w:rPr>
                <w:rFonts w:ascii="宋体" w:eastAsia="宋体" w:hAnsi="宋体" w:cs="宋体"/>
                <w:sz w:val="18"/>
                <w:szCs w:val="18"/>
              </w:rPr>
            </w:pPr>
            <w:r>
              <w:rPr>
                <w:rFonts w:ascii="宋体" w:eastAsia="宋体" w:hAnsi="宋体" w:cs="宋体" w:hint="eastAsia"/>
                <w:kern w:val="0"/>
                <w:sz w:val="18"/>
                <w:szCs w:val="18"/>
                <w:lang w:bidi="ar"/>
              </w:rPr>
              <w:t>其他</w:t>
            </w:r>
          </w:p>
        </w:tc>
        <w:tc>
          <w:tcPr>
            <w:tcW w:w="737" w:type="dxa"/>
            <w:vMerge/>
            <w:shd w:val="clear" w:color="auto" w:fill="D3D3D3"/>
            <w:vAlign w:val="center"/>
          </w:tcPr>
          <w:p w:rsidR="00403CD6" w:rsidRDefault="00403CD6">
            <w:pPr>
              <w:jc w:val="center"/>
              <w:rPr>
                <w:rFonts w:ascii="宋体" w:eastAsia="宋体" w:hAnsi="宋体" w:cs="宋体"/>
                <w:sz w:val="18"/>
                <w:szCs w:val="18"/>
              </w:rPr>
            </w:pPr>
          </w:p>
        </w:tc>
        <w:tc>
          <w:tcPr>
            <w:tcW w:w="638" w:type="dxa"/>
            <w:vMerge/>
            <w:shd w:val="clear" w:color="auto" w:fill="D3D3D3"/>
            <w:vAlign w:val="center"/>
          </w:tcPr>
          <w:p w:rsidR="00403CD6" w:rsidRDefault="00403CD6">
            <w:pPr>
              <w:jc w:val="center"/>
              <w:rPr>
                <w:rFonts w:ascii="宋体" w:eastAsia="宋体" w:hAnsi="宋体" w:cs="宋体"/>
                <w:sz w:val="18"/>
                <w:szCs w:val="18"/>
              </w:rPr>
            </w:pPr>
          </w:p>
        </w:tc>
        <w:tc>
          <w:tcPr>
            <w:tcW w:w="675" w:type="dxa"/>
            <w:vMerge/>
            <w:shd w:val="clear" w:color="auto" w:fill="D3D3D3"/>
            <w:vAlign w:val="center"/>
          </w:tcPr>
          <w:p w:rsidR="00403CD6" w:rsidRDefault="00403CD6">
            <w:pPr>
              <w:jc w:val="center"/>
              <w:rPr>
                <w:rFonts w:ascii="宋体" w:eastAsia="宋体" w:hAnsi="宋体" w:cs="宋体"/>
                <w:sz w:val="18"/>
                <w:szCs w:val="18"/>
              </w:rPr>
            </w:pPr>
          </w:p>
        </w:tc>
        <w:tc>
          <w:tcPr>
            <w:tcW w:w="825" w:type="dxa"/>
            <w:vMerge/>
            <w:shd w:val="clear" w:color="auto" w:fill="D3D3D3"/>
            <w:vAlign w:val="center"/>
          </w:tcPr>
          <w:p w:rsidR="00403CD6" w:rsidRDefault="00403CD6">
            <w:pPr>
              <w:jc w:val="center"/>
              <w:rPr>
                <w:rFonts w:ascii="宋体" w:eastAsia="宋体" w:hAnsi="宋体" w:cs="宋体"/>
                <w:sz w:val="18"/>
                <w:szCs w:val="18"/>
              </w:rPr>
            </w:pPr>
          </w:p>
        </w:tc>
        <w:tc>
          <w:tcPr>
            <w:tcW w:w="650" w:type="dxa"/>
            <w:vMerge/>
            <w:shd w:val="clear" w:color="auto" w:fill="D3D3D3"/>
            <w:vAlign w:val="center"/>
          </w:tcPr>
          <w:p w:rsidR="00403CD6" w:rsidRDefault="00403CD6">
            <w:pPr>
              <w:jc w:val="center"/>
              <w:rPr>
                <w:rFonts w:ascii="宋体" w:eastAsia="宋体" w:hAnsi="宋体" w:cs="宋体"/>
                <w:sz w:val="18"/>
                <w:szCs w:val="18"/>
              </w:rPr>
            </w:pPr>
          </w:p>
        </w:tc>
        <w:tc>
          <w:tcPr>
            <w:tcW w:w="737" w:type="dxa"/>
            <w:vMerge/>
            <w:shd w:val="clear" w:color="auto" w:fill="D3D3D3"/>
            <w:vAlign w:val="center"/>
          </w:tcPr>
          <w:p w:rsidR="00403CD6" w:rsidRDefault="00403CD6">
            <w:pPr>
              <w:jc w:val="center"/>
              <w:rPr>
                <w:rFonts w:ascii="宋体" w:eastAsia="宋体" w:hAnsi="宋体" w:cs="宋体"/>
                <w:sz w:val="18"/>
                <w:szCs w:val="18"/>
              </w:rPr>
            </w:pPr>
          </w:p>
        </w:tc>
        <w:tc>
          <w:tcPr>
            <w:tcW w:w="750" w:type="dxa"/>
            <w:vMerge/>
            <w:shd w:val="clear" w:color="auto" w:fill="D3D3D3"/>
            <w:vAlign w:val="center"/>
          </w:tcPr>
          <w:p w:rsidR="00403CD6" w:rsidRDefault="00403CD6">
            <w:pPr>
              <w:jc w:val="center"/>
              <w:rPr>
                <w:rFonts w:ascii="宋体" w:eastAsia="宋体" w:hAnsi="宋体" w:cs="宋体"/>
                <w:sz w:val="18"/>
                <w:szCs w:val="18"/>
              </w:rPr>
            </w:pPr>
          </w:p>
        </w:tc>
        <w:tc>
          <w:tcPr>
            <w:tcW w:w="800" w:type="dxa"/>
            <w:vMerge/>
            <w:shd w:val="clear" w:color="auto" w:fill="D3D3D3"/>
            <w:vAlign w:val="center"/>
          </w:tcPr>
          <w:p w:rsidR="00403CD6" w:rsidRDefault="00403CD6">
            <w:pPr>
              <w:jc w:val="center"/>
              <w:rPr>
                <w:rFonts w:ascii="宋体" w:eastAsia="宋体" w:hAnsi="宋体" w:cs="宋体"/>
                <w:sz w:val="18"/>
                <w:szCs w:val="18"/>
              </w:rPr>
            </w:pPr>
          </w:p>
        </w:tc>
        <w:tc>
          <w:tcPr>
            <w:tcW w:w="725" w:type="dxa"/>
            <w:vMerge/>
            <w:shd w:val="clear" w:color="auto" w:fill="D3D3D3"/>
            <w:vAlign w:val="center"/>
          </w:tcPr>
          <w:p w:rsidR="00403CD6" w:rsidRDefault="00403CD6">
            <w:pPr>
              <w:jc w:val="center"/>
              <w:rPr>
                <w:rFonts w:ascii="宋体" w:eastAsia="宋体" w:hAnsi="宋体" w:cs="宋体"/>
                <w:sz w:val="18"/>
                <w:szCs w:val="18"/>
              </w:rPr>
            </w:pPr>
          </w:p>
        </w:tc>
        <w:tc>
          <w:tcPr>
            <w:tcW w:w="700" w:type="dxa"/>
            <w:vMerge/>
            <w:shd w:val="clear" w:color="auto" w:fill="D3D3D3"/>
            <w:vAlign w:val="center"/>
          </w:tcPr>
          <w:p w:rsidR="00403CD6" w:rsidRDefault="00403CD6">
            <w:pPr>
              <w:jc w:val="center"/>
              <w:rPr>
                <w:rFonts w:ascii="宋体" w:eastAsia="宋体" w:hAnsi="宋体" w:cs="宋体"/>
                <w:sz w:val="18"/>
                <w:szCs w:val="18"/>
              </w:rPr>
            </w:pP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一、上年期末余额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2,956,813,200.00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5,328,790,899.61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-864,881,489.08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23,322,829.57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1,212,009,109.97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79,370,294.91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8,020,182,801.55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16,692,175,196.53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4,405,680,649.10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21,097,855,845.63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lastRenderedPageBreak/>
              <w:t xml:space="preserve">二、本年期初余额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2,956,813,200.00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5,328,790,899.61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-864,881,489.08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23,322,829.57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1,212,009,109.97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79,370,294.91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8,020,182,801.55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16,692,175,196.53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4,405,680,649.10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21,097,855,845.63 </w:t>
            </w:r>
          </w:p>
        </w:tc>
      </w:tr>
      <w:tr w:rsidR="001326E2">
        <w:trPr>
          <w:trHeight w:val="284"/>
        </w:trPr>
        <w:tc>
          <w:tcPr>
            <w:tcW w:w="860" w:type="dxa"/>
            <w:shd w:val="clear" w:color="auto" w:fill="D3D3D3"/>
            <w:vAlign w:val="center"/>
          </w:tcPr>
          <w:p w:rsidR="001326E2" w:rsidRDefault="001326E2">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三、本期增减变动金额（减少</w:t>
            </w:r>
            <w:r>
              <w:rPr>
                <w:rStyle w:val="font61"/>
                <w:rFonts w:eastAsia="宋体"/>
                <w:color w:val="auto"/>
                <w:lang w:bidi="ar"/>
              </w:rPr>
              <w:t>以</w:t>
            </w:r>
            <w:r>
              <w:rPr>
                <w:rStyle w:val="font51"/>
                <w:rFonts w:hint="default"/>
                <w:color w:val="auto"/>
                <w:lang w:bidi="ar"/>
              </w:rPr>
              <w:t>“</w:t>
            </w:r>
            <w:r>
              <w:rPr>
                <w:rStyle w:val="font61"/>
                <w:rFonts w:eastAsia="宋体"/>
                <w:color w:val="auto"/>
                <w:lang w:bidi="ar"/>
              </w:rPr>
              <w:t>－</w:t>
            </w:r>
            <w:r>
              <w:rPr>
                <w:rStyle w:val="font51"/>
                <w:rFonts w:hint="default"/>
                <w:color w:val="auto"/>
                <w:lang w:bidi="ar"/>
              </w:rPr>
              <w:t xml:space="preserve">”号填列） </w:t>
            </w:r>
          </w:p>
        </w:tc>
        <w:tc>
          <w:tcPr>
            <w:tcW w:w="67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313"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2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-121,112,276.86 </w:t>
            </w:r>
          </w:p>
        </w:tc>
        <w:tc>
          <w:tcPr>
            <w:tcW w:w="638"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67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-48,827,181.07 </w:t>
            </w:r>
          </w:p>
        </w:tc>
        <w:tc>
          <w:tcPr>
            <w:tcW w:w="82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3,477,661.96 </w:t>
            </w:r>
          </w:p>
        </w:tc>
        <w:tc>
          <w:tcPr>
            <w:tcW w:w="650"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37"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1,580,289.20 </w:t>
            </w:r>
          </w:p>
        </w:tc>
        <w:tc>
          <w:tcPr>
            <w:tcW w:w="75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1326E2">
              <w:rPr>
                <w:rFonts w:ascii="Times New Roman" w:eastAsia="宋体" w:hAnsi="Times New Roman" w:cs="Times New Roman"/>
                <w:kern w:val="0"/>
                <w:sz w:val="18"/>
                <w:szCs w:val="18"/>
                <w:lang w:bidi="ar"/>
              </w:rPr>
              <w:t xml:space="preserve">-7,412,364,780.85 </w:t>
            </w:r>
            <w:r w:rsidRPr="008A7F3A">
              <w:rPr>
                <w:rFonts w:ascii="Times New Roman" w:eastAsia="宋体" w:hAnsi="Times New Roman" w:cs="Times New Roman"/>
                <w:kern w:val="0"/>
                <w:sz w:val="18"/>
                <w:szCs w:val="18"/>
                <w:lang w:bidi="ar"/>
              </w:rPr>
              <w:t xml:space="preserve"> </w:t>
            </w:r>
          </w:p>
        </w:tc>
        <w:tc>
          <w:tcPr>
            <w:tcW w:w="8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-7,536,070,837.62 </w:t>
            </w:r>
          </w:p>
        </w:tc>
        <w:tc>
          <w:tcPr>
            <w:tcW w:w="725"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-726,014,382.86 </w:t>
            </w:r>
          </w:p>
        </w:tc>
        <w:tc>
          <w:tcPr>
            <w:tcW w:w="7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-8,262,085,220.48 </w:t>
            </w:r>
          </w:p>
        </w:tc>
      </w:tr>
      <w:tr w:rsidR="001326E2">
        <w:trPr>
          <w:trHeight w:val="284"/>
        </w:trPr>
        <w:tc>
          <w:tcPr>
            <w:tcW w:w="860" w:type="dxa"/>
            <w:shd w:val="clear" w:color="auto" w:fill="D3D3D3"/>
            <w:vAlign w:val="center"/>
          </w:tcPr>
          <w:p w:rsidR="001326E2" w:rsidRDefault="001326E2">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（一）综合收益总额 </w:t>
            </w:r>
          </w:p>
        </w:tc>
        <w:tc>
          <w:tcPr>
            <w:tcW w:w="675"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1326E2" w:rsidRDefault="001326E2">
            <w:pPr>
              <w:jc w:val="right"/>
              <w:rPr>
                <w:rFonts w:ascii="Times New Roman" w:eastAsia="宋体" w:hAnsi="Times New Roman" w:cs="Times New Roman"/>
                <w:sz w:val="18"/>
                <w:szCs w:val="18"/>
              </w:rPr>
            </w:pPr>
          </w:p>
        </w:tc>
        <w:tc>
          <w:tcPr>
            <w:tcW w:w="67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-48,827,181.07 </w:t>
            </w:r>
          </w:p>
        </w:tc>
        <w:tc>
          <w:tcPr>
            <w:tcW w:w="825"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1326E2" w:rsidRDefault="001326E2">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-7,410,784,491.65 </w:t>
            </w:r>
          </w:p>
        </w:tc>
        <w:tc>
          <w:tcPr>
            <w:tcW w:w="8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-7,459,611,672.72 </w:t>
            </w:r>
          </w:p>
        </w:tc>
        <w:tc>
          <w:tcPr>
            <w:tcW w:w="725"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-382,234,925.64 </w:t>
            </w:r>
          </w:p>
        </w:tc>
        <w:tc>
          <w:tcPr>
            <w:tcW w:w="7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 -7,841,846,598.36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（二）所有者投入和减少资本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-121,112,276.86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-79,936,826.86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-290,042,380.45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-369,979,207.31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Style w:val="font41"/>
                <w:rFonts w:eastAsia="宋体"/>
                <w:color w:val="auto"/>
                <w:lang w:bidi="ar"/>
              </w:rPr>
              <w:t xml:space="preserve"> </w:t>
            </w:r>
            <w:r>
              <w:rPr>
                <w:rFonts w:ascii="宋体" w:eastAsia="宋体" w:hAnsi="宋体" w:cs="宋体" w:hint="eastAsia"/>
                <w:kern w:val="0"/>
                <w:sz w:val="18"/>
                <w:szCs w:val="18"/>
                <w:lang w:bidi="ar"/>
              </w:rPr>
              <w:t xml:space="preserve">1．所有者投入的普通股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-290,042,380.45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-290,042,380.45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Style w:val="font41"/>
                <w:rFonts w:eastAsia="宋体"/>
                <w:color w:val="auto"/>
                <w:lang w:bidi="ar"/>
              </w:rPr>
              <w:t xml:space="preserve"> </w:t>
            </w:r>
            <w:r>
              <w:rPr>
                <w:rFonts w:ascii="宋体" w:eastAsia="宋体" w:hAnsi="宋体" w:cs="宋体" w:hint="eastAsia"/>
                <w:kern w:val="0"/>
                <w:sz w:val="18"/>
                <w:szCs w:val="18"/>
                <w:lang w:bidi="ar"/>
              </w:rPr>
              <w:t xml:space="preserve">2．股份支付计入所有者权益的金额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-41,175,450.00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宋体" w:eastAsia="宋体" w:hAnsi="宋体" w:cs="宋体" w:hint="eastAsia"/>
                <w:kern w:val="0"/>
                <w:sz w:val="18"/>
                <w:szCs w:val="18"/>
                <w:lang w:bidi="ar"/>
              </w:rPr>
              <w:t xml:space="preserve">3．其他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-79,936,826.86 </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-79,936,826.86 </w:t>
            </w:r>
          </w:p>
        </w:tc>
        <w:tc>
          <w:tcPr>
            <w:tcW w:w="7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-79,936,826.86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（三）利润分配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1,580,289.20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-1,580,289.20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-123,000,000.00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-123,000,000.00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Style w:val="font41"/>
                <w:rFonts w:eastAsia="宋体"/>
                <w:color w:val="auto"/>
                <w:lang w:bidi="ar"/>
              </w:rPr>
              <w:t xml:space="preserve"> </w:t>
            </w:r>
            <w:r>
              <w:rPr>
                <w:rFonts w:ascii="宋体" w:eastAsia="宋体" w:hAnsi="宋体" w:cs="宋体" w:hint="eastAsia"/>
                <w:kern w:val="0"/>
                <w:sz w:val="18"/>
                <w:szCs w:val="18"/>
                <w:lang w:bidi="ar"/>
              </w:rPr>
              <w:t xml:space="preserve">1．提取一般风险准备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1,580,289.20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-1,580,289.20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Style w:val="font41"/>
                <w:rFonts w:eastAsia="宋体"/>
                <w:color w:val="auto"/>
                <w:lang w:bidi="ar"/>
              </w:rPr>
              <w:t xml:space="preserve"> </w:t>
            </w:r>
            <w:r>
              <w:rPr>
                <w:rFonts w:ascii="宋体" w:eastAsia="宋体" w:hAnsi="宋体" w:cs="宋体" w:hint="eastAsia"/>
                <w:kern w:val="0"/>
                <w:sz w:val="18"/>
                <w:szCs w:val="18"/>
                <w:lang w:bidi="ar"/>
              </w:rPr>
              <w:t xml:space="preserve">2．对所有者（或股东）的分配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-123,000,000.00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-123,000,000.00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 （四）所有者权益内部结转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69,262,923.23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69,262,923.23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1．其他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69,262,923.23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69,262,923.23 </w:t>
            </w:r>
          </w:p>
        </w:tc>
      </w:tr>
      <w:tr w:rsidR="00403CD6">
        <w:trPr>
          <w:trHeight w:val="284"/>
        </w:trPr>
        <w:tc>
          <w:tcPr>
            <w:tcW w:w="860" w:type="dxa"/>
            <w:shd w:val="clear" w:color="auto" w:fill="D3D3D3"/>
            <w:vAlign w:val="center"/>
          </w:tcPr>
          <w:p w:rsidR="00403CD6" w:rsidRDefault="00E91A59">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（五）专项储备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1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6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67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3,477,661.96 </w:t>
            </w:r>
          </w:p>
        </w:tc>
        <w:tc>
          <w:tcPr>
            <w:tcW w:w="6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3,477,661.96 </w:t>
            </w:r>
          </w:p>
        </w:tc>
        <w:tc>
          <w:tcPr>
            <w:tcW w:w="7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3,477,661.96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宋体" w:eastAsia="宋体" w:hAnsi="宋体" w:cs="宋体" w:hint="eastAsia"/>
                <w:kern w:val="0"/>
                <w:sz w:val="18"/>
                <w:szCs w:val="18"/>
                <w:lang w:bidi="ar"/>
              </w:rPr>
              <w:t xml:space="preserve">1．本期提取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19,870,503.88 </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19,870,503.88 </w:t>
            </w:r>
          </w:p>
        </w:tc>
        <w:tc>
          <w:tcPr>
            <w:tcW w:w="7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19,870,503.88 </w:t>
            </w:r>
          </w:p>
        </w:tc>
      </w:tr>
      <w:tr w:rsidR="00403CD6">
        <w:trPr>
          <w:trHeight w:val="284"/>
        </w:trPr>
        <w:tc>
          <w:tcPr>
            <w:tcW w:w="86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Style w:val="font41"/>
                <w:rFonts w:eastAsia="宋体"/>
                <w:color w:val="auto"/>
                <w:lang w:bidi="ar"/>
              </w:rPr>
              <w:t xml:space="preserve"> </w:t>
            </w:r>
            <w:r>
              <w:rPr>
                <w:rFonts w:ascii="宋体" w:eastAsia="宋体" w:hAnsi="宋体" w:cs="宋体" w:hint="eastAsia"/>
                <w:kern w:val="0"/>
                <w:sz w:val="18"/>
                <w:szCs w:val="18"/>
                <w:lang w:bidi="ar"/>
              </w:rPr>
              <w:t xml:space="preserve">2．本期使用 </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1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67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-16,392,841.92 </w:t>
            </w:r>
          </w:p>
        </w:tc>
        <w:tc>
          <w:tcPr>
            <w:tcW w:w="6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-16,392,841.92 </w:t>
            </w:r>
          </w:p>
        </w:tc>
        <w:tc>
          <w:tcPr>
            <w:tcW w:w="7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0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-16,392,841.92 </w:t>
            </w:r>
          </w:p>
        </w:tc>
      </w:tr>
      <w:tr w:rsidR="001326E2">
        <w:trPr>
          <w:trHeight w:val="284"/>
        </w:trPr>
        <w:tc>
          <w:tcPr>
            <w:tcW w:w="860" w:type="dxa"/>
            <w:shd w:val="clear" w:color="auto" w:fill="D3D3D3"/>
            <w:vAlign w:val="center"/>
          </w:tcPr>
          <w:p w:rsidR="001326E2" w:rsidRDefault="001326E2">
            <w:pPr>
              <w:widowControl/>
              <w:textAlignment w:val="center"/>
              <w:rPr>
                <w:rFonts w:ascii="宋体" w:eastAsia="宋体" w:hAnsi="宋体" w:cs="宋体"/>
                <w:sz w:val="18"/>
                <w:szCs w:val="18"/>
              </w:rPr>
            </w:pPr>
            <w:r>
              <w:rPr>
                <w:rFonts w:ascii="宋体" w:eastAsia="宋体" w:hAnsi="宋体" w:cs="宋体" w:hint="eastAsia"/>
                <w:kern w:val="0"/>
                <w:sz w:val="18"/>
                <w:szCs w:val="18"/>
                <w:lang w:bidi="ar"/>
              </w:rPr>
              <w:t xml:space="preserve">四、本期期末余额 </w:t>
            </w:r>
          </w:p>
        </w:tc>
        <w:tc>
          <w:tcPr>
            <w:tcW w:w="67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2,934,556,200.00 </w:t>
            </w:r>
          </w:p>
        </w:tc>
        <w:tc>
          <w:tcPr>
            <w:tcW w:w="313"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2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50"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37"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5,207,678,622.75 </w:t>
            </w:r>
          </w:p>
        </w:tc>
        <w:tc>
          <w:tcPr>
            <w:tcW w:w="638"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67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-913,708,670.15 </w:t>
            </w:r>
          </w:p>
        </w:tc>
        <w:tc>
          <w:tcPr>
            <w:tcW w:w="825"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26,800,491.53 </w:t>
            </w:r>
          </w:p>
        </w:tc>
        <w:tc>
          <w:tcPr>
            <w:tcW w:w="650"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1,212,009,109.97 </w:t>
            </w:r>
          </w:p>
        </w:tc>
        <w:tc>
          <w:tcPr>
            <w:tcW w:w="737" w:type="dxa"/>
            <w:shd w:val="clear" w:color="auto" w:fill="auto"/>
            <w:vAlign w:val="center"/>
          </w:tcPr>
          <w:p w:rsidR="001326E2" w:rsidRDefault="001326E2">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80,950,584.11 </w:t>
            </w:r>
          </w:p>
        </w:tc>
        <w:tc>
          <w:tcPr>
            <w:tcW w:w="75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607,818,020.70 </w:t>
            </w:r>
          </w:p>
        </w:tc>
        <w:tc>
          <w:tcPr>
            <w:tcW w:w="8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9,156,104,358.91 </w:t>
            </w:r>
          </w:p>
        </w:tc>
        <w:tc>
          <w:tcPr>
            <w:tcW w:w="725"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3,679,666,266.24 </w:t>
            </w:r>
          </w:p>
        </w:tc>
        <w:tc>
          <w:tcPr>
            <w:tcW w:w="700" w:type="dxa"/>
            <w:shd w:val="clear" w:color="auto" w:fill="auto"/>
            <w:vAlign w:val="center"/>
          </w:tcPr>
          <w:p w:rsidR="001326E2" w:rsidRPr="008A7F3A" w:rsidRDefault="001326E2" w:rsidP="008A7F3A">
            <w:pPr>
              <w:widowControl/>
              <w:jc w:val="right"/>
              <w:textAlignment w:val="center"/>
              <w:rPr>
                <w:rFonts w:ascii="Times New Roman" w:eastAsia="宋体" w:hAnsi="Times New Roman" w:cs="Times New Roman"/>
                <w:kern w:val="0"/>
                <w:sz w:val="18"/>
                <w:szCs w:val="18"/>
                <w:lang w:bidi="ar"/>
              </w:rPr>
            </w:pPr>
            <w:r w:rsidRPr="006D23EF">
              <w:rPr>
                <w:rFonts w:ascii="Times New Roman" w:eastAsia="宋体" w:hAnsi="Times New Roman" w:cs="Times New Roman"/>
                <w:kern w:val="0"/>
                <w:sz w:val="18"/>
                <w:szCs w:val="18"/>
                <w:lang w:bidi="ar"/>
              </w:rPr>
              <w:t xml:space="preserve">12,835,770,625.15 </w:t>
            </w:r>
          </w:p>
        </w:tc>
      </w:tr>
    </w:tbl>
    <w:p w:rsidR="00403CD6" w:rsidRDefault="00403CD6">
      <w:pPr>
        <w:spacing w:line="240" w:lineRule="exact"/>
        <w:rPr>
          <w:rFonts w:ascii="Times New Roman" w:eastAsia="宋体" w:hAnsi="Times New Roman" w:cs="Times New Roman"/>
          <w:sz w:val="18"/>
          <w:szCs w:val="18"/>
        </w:rPr>
      </w:pPr>
    </w:p>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上期金额</w:t>
      </w:r>
    </w:p>
    <w:p w:rsidR="00403CD6" w:rsidRDefault="00E91A59">
      <w:pPr>
        <w:spacing w:before="120" w:after="12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单位：元</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162"/>
        <w:gridCol w:w="567"/>
        <w:gridCol w:w="426"/>
        <w:gridCol w:w="708"/>
        <w:gridCol w:w="426"/>
        <w:gridCol w:w="567"/>
        <w:gridCol w:w="567"/>
        <w:gridCol w:w="567"/>
        <w:gridCol w:w="708"/>
        <w:gridCol w:w="567"/>
        <w:gridCol w:w="567"/>
        <w:gridCol w:w="709"/>
        <w:gridCol w:w="286"/>
        <w:gridCol w:w="607"/>
        <w:gridCol w:w="602"/>
        <w:gridCol w:w="603"/>
      </w:tblGrid>
      <w:tr w:rsidR="00403CD6">
        <w:trPr>
          <w:trHeight w:val="240"/>
        </w:trPr>
        <w:tc>
          <w:tcPr>
            <w:tcW w:w="1162"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8477" w:type="dxa"/>
            <w:gridSpan w:val="1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2023</w:t>
            </w:r>
            <w:r>
              <w:rPr>
                <w:rFonts w:ascii="Times New Roman" w:eastAsia="宋体" w:hAnsi="Times New Roman" w:cs="Times New Roman"/>
                <w:sz w:val="18"/>
                <w:szCs w:val="18"/>
              </w:rPr>
              <w:t>年度</w:t>
            </w:r>
          </w:p>
        </w:tc>
      </w:tr>
      <w:tr w:rsidR="00403CD6">
        <w:trPr>
          <w:trHeight w:val="240"/>
        </w:trPr>
        <w:tc>
          <w:tcPr>
            <w:tcW w:w="1162" w:type="dxa"/>
            <w:vMerge/>
            <w:shd w:val="clear" w:color="auto" w:fill="D3D3D3"/>
            <w:vAlign w:val="center"/>
          </w:tcPr>
          <w:p w:rsidR="00403CD6" w:rsidRDefault="00403CD6">
            <w:pPr>
              <w:rPr>
                <w:rFonts w:ascii="Times New Roman" w:hAnsi="Times New Roman" w:cs="Times New Roman"/>
              </w:rPr>
            </w:pPr>
          </w:p>
        </w:tc>
        <w:tc>
          <w:tcPr>
            <w:tcW w:w="7272" w:type="dxa"/>
            <w:gridSpan w:val="1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归属于母公司所有者权益</w:t>
            </w:r>
          </w:p>
        </w:tc>
        <w:tc>
          <w:tcPr>
            <w:tcW w:w="602" w:type="dxa"/>
            <w:vMerge w:val="restart"/>
            <w:shd w:val="clear" w:color="auto" w:fill="D3D3D3"/>
            <w:vAlign w:val="center"/>
          </w:tcPr>
          <w:p w:rsidR="00403CD6" w:rsidRDefault="00E91A59">
            <w:pPr>
              <w:spacing w:before="40" w:after="40" w:line="0" w:lineRule="atLeast"/>
              <w:jc w:val="center"/>
              <w:rPr>
                <w:rFonts w:ascii="Times New Roman" w:eastAsia="宋体" w:hAnsi="Times New Roman" w:cs="Times New Roman"/>
                <w:sz w:val="18"/>
                <w:szCs w:val="18"/>
              </w:rPr>
            </w:pPr>
            <w:r>
              <w:rPr>
                <w:rFonts w:ascii="Times New Roman" w:eastAsia="宋体" w:hAnsi="Times New Roman" w:cs="Times New Roman"/>
                <w:sz w:val="18"/>
                <w:szCs w:val="18"/>
              </w:rPr>
              <w:t>少数股东权益</w:t>
            </w:r>
          </w:p>
        </w:tc>
        <w:tc>
          <w:tcPr>
            <w:tcW w:w="603"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所有者权益合计</w:t>
            </w:r>
          </w:p>
        </w:tc>
      </w:tr>
      <w:tr w:rsidR="00403CD6">
        <w:trPr>
          <w:trHeight w:val="240"/>
        </w:trPr>
        <w:tc>
          <w:tcPr>
            <w:tcW w:w="1162" w:type="dxa"/>
            <w:vMerge/>
            <w:shd w:val="clear" w:color="auto" w:fill="D3D3D3"/>
            <w:vAlign w:val="center"/>
          </w:tcPr>
          <w:p w:rsidR="00403CD6" w:rsidRDefault="00403CD6">
            <w:pPr>
              <w:rPr>
                <w:rFonts w:ascii="Times New Roman" w:hAnsi="Times New Roman" w:cs="Times New Roman"/>
              </w:rPr>
            </w:pP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股本</w:t>
            </w:r>
          </w:p>
        </w:tc>
        <w:tc>
          <w:tcPr>
            <w:tcW w:w="1560" w:type="dxa"/>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其他权益工具</w:t>
            </w: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资本公积</w:t>
            </w: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减：库存股</w:t>
            </w: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其他综合收益</w:t>
            </w:r>
          </w:p>
        </w:tc>
        <w:tc>
          <w:tcPr>
            <w:tcW w:w="708"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专项储备</w:t>
            </w: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盈余公积</w:t>
            </w:r>
          </w:p>
        </w:tc>
        <w:tc>
          <w:tcPr>
            <w:tcW w:w="56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一般风险准备</w:t>
            </w: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未分配利润</w:t>
            </w:r>
          </w:p>
        </w:tc>
        <w:tc>
          <w:tcPr>
            <w:tcW w:w="286"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607"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小计</w:t>
            </w:r>
          </w:p>
        </w:tc>
        <w:tc>
          <w:tcPr>
            <w:tcW w:w="602" w:type="dxa"/>
            <w:vMerge/>
            <w:shd w:val="clear" w:color="auto" w:fill="D3D3D3"/>
            <w:vAlign w:val="center"/>
          </w:tcPr>
          <w:p w:rsidR="00403CD6" w:rsidRDefault="00403CD6">
            <w:pPr>
              <w:rPr>
                <w:rFonts w:ascii="Times New Roman" w:hAnsi="Times New Roman" w:cs="Times New Roman"/>
              </w:rPr>
            </w:pPr>
          </w:p>
        </w:tc>
        <w:tc>
          <w:tcPr>
            <w:tcW w:w="603" w:type="dxa"/>
            <w:vMerge/>
            <w:shd w:val="clear" w:color="auto" w:fill="D3D3D3"/>
            <w:vAlign w:val="center"/>
          </w:tcPr>
          <w:p w:rsidR="00403CD6" w:rsidRDefault="00403CD6">
            <w:pPr>
              <w:rPr>
                <w:rFonts w:ascii="Times New Roman" w:hAnsi="Times New Roman" w:cs="Times New Roman"/>
              </w:rPr>
            </w:pPr>
          </w:p>
        </w:tc>
      </w:tr>
      <w:tr w:rsidR="00403CD6">
        <w:trPr>
          <w:trHeight w:val="240"/>
        </w:trPr>
        <w:tc>
          <w:tcPr>
            <w:tcW w:w="1162" w:type="dxa"/>
            <w:vMerge/>
            <w:shd w:val="clear" w:color="auto" w:fill="D3D3D3"/>
            <w:vAlign w:val="center"/>
          </w:tcPr>
          <w:p w:rsidR="00403CD6" w:rsidRDefault="00403CD6">
            <w:pPr>
              <w:rPr>
                <w:rFonts w:ascii="Times New Roman" w:hAnsi="Times New Roman" w:cs="Times New Roman"/>
              </w:rPr>
            </w:pPr>
          </w:p>
        </w:tc>
        <w:tc>
          <w:tcPr>
            <w:tcW w:w="567" w:type="dxa"/>
            <w:vMerge/>
            <w:shd w:val="clear" w:color="auto" w:fill="D3D3D3"/>
            <w:vAlign w:val="center"/>
          </w:tcPr>
          <w:p w:rsidR="00403CD6" w:rsidRDefault="00403CD6">
            <w:pPr>
              <w:rPr>
                <w:rFonts w:ascii="Times New Roman" w:hAnsi="Times New Roman" w:cs="Times New Roman"/>
              </w:rPr>
            </w:pPr>
          </w:p>
        </w:tc>
        <w:tc>
          <w:tcPr>
            <w:tcW w:w="426"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优先股</w:t>
            </w:r>
          </w:p>
        </w:tc>
        <w:tc>
          <w:tcPr>
            <w:tcW w:w="708"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永续债</w:t>
            </w:r>
          </w:p>
        </w:tc>
        <w:tc>
          <w:tcPr>
            <w:tcW w:w="426"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567" w:type="dxa"/>
            <w:vMerge/>
            <w:shd w:val="clear" w:color="auto" w:fill="D3D3D3"/>
            <w:vAlign w:val="center"/>
          </w:tcPr>
          <w:p w:rsidR="00403CD6" w:rsidRDefault="00403CD6">
            <w:pPr>
              <w:rPr>
                <w:rFonts w:ascii="Times New Roman" w:hAnsi="Times New Roman" w:cs="Times New Roman"/>
              </w:rPr>
            </w:pPr>
          </w:p>
        </w:tc>
        <w:tc>
          <w:tcPr>
            <w:tcW w:w="567" w:type="dxa"/>
            <w:vMerge/>
            <w:shd w:val="clear" w:color="auto" w:fill="D3D3D3"/>
            <w:vAlign w:val="center"/>
          </w:tcPr>
          <w:p w:rsidR="00403CD6" w:rsidRDefault="00403CD6">
            <w:pPr>
              <w:rPr>
                <w:rFonts w:ascii="Times New Roman" w:hAnsi="Times New Roman" w:cs="Times New Roman"/>
              </w:rPr>
            </w:pPr>
          </w:p>
        </w:tc>
        <w:tc>
          <w:tcPr>
            <w:tcW w:w="567" w:type="dxa"/>
            <w:vMerge/>
            <w:shd w:val="clear" w:color="auto" w:fill="D3D3D3"/>
            <w:vAlign w:val="center"/>
          </w:tcPr>
          <w:p w:rsidR="00403CD6" w:rsidRDefault="00403CD6">
            <w:pPr>
              <w:rPr>
                <w:rFonts w:ascii="Times New Roman" w:hAnsi="Times New Roman" w:cs="Times New Roman"/>
              </w:rPr>
            </w:pPr>
          </w:p>
        </w:tc>
        <w:tc>
          <w:tcPr>
            <w:tcW w:w="708" w:type="dxa"/>
            <w:vMerge/>
            <w:vAlign w:val="center"/>
          </w:tcPr>
          <w:p w:rsidR="00403CD6" w:rsidRDefault="00403CD6">
            <w:pPr>
              <w:rPr>
                <w:rFonts w:ascii="Times New Roman" w:hAnsi="Times New Roman" w:cs="Times New Roman"/>
              </w:rPr>
            </w:pPr>
          </w:p>
        </w:tc>
        <w:tc>
          <w:tcPr>
            <w:tcW w:w="567" w:type="dxa"/>
            <w:vMerge/>
            <w:shd w:val="clear" w:color="auto" w:fill="D3D3D3"/>
            <w:vAlign w:val="center"/>
          </w:tcPr>
          <w:p w:rsidR="00403CD6" w:rsidRDefault="00403CD6">
            <w:pPr>
              <w:rPr>
                <w:rFonts w:ascii="Times New Roman" w:hAnsi="Times New Roman" w:cs="Times New Roman"/>
              </w:rPr>
            </w:pPr>
          </w:p>
        </w:tc>
        <w:tc>
          <w:tcPr>
            <w:tcW w:w="567" w:type="dxa"/>
            <w:vMerge/>
            <w:shd w:val="clear" w:color="auto" w:fill="D3D3D3"/>
            <w:vAlign w:val="center"/>
          </w:tcPr>
          <w:p w:rsidR="00403CD6" w:rsidRDefault="00403CD6">
            <w:pPr>
              <w:rPr>
                <w:rFonts w:ascii="Times New Roman" w:hAnsi="Times New Roman" w:cs="Times New Roman"/>
              </w:rPr>
            </w:pPr>
          </w:p>
        </w:tc>
        <w:tc>
          <w:tcPr>
            <w:tcW w:w="709" w:type="dxa"/>
            <w:vMerge/>
            <w:shd w:val="clear" w:color="auto" w:fill="D3D3D3"/>
            <w:vAlign w:val="center"/>
          </w:tcPr>
          <w:p w:rsidR="00403CD6" w:rsidRDefault="00403CD6">
            <w:pPr>
              <w:rPr>
                <w:rFonts w:ascii="Times New Roman" w:hAnsi="Times New Roman" w:cs="Times New Roman"/>
              </w:rPr>
            </w:pPr>
          </w:p>
        </w:tc>
        <w:tc>
          <w:tcPr>
            <w:tcW w:w="286" w:type="dxa"/>
            <w:vMerge/>
            <w:shd w:val="clear" w:color="auto" w:fill="D3D3D3"/>
            <w:vAlign w:val="center"/>
          </w:tcPr>
          <w:p w:rsidR="00403CD6" w:rsidRDefault="00403CD6">
            <w:pPr>
              <w:rPr>
                <w:rFonts w:ascii="Times New Roman" w:hAnsi="Times New Roman" w:cs="Times New Roman"/>
              </w:rPr>
            </w:pPr>
          </w:p>
        </w:tc>
        <w:tc>
          <w:tcPr>
            <w:tcW w:w="607" w:type="dxa"/>
            <w:vMerge/>
            <w:shd w:val="clear" w:color="auto" w:fill="D3D3D3"/>
            <w:vAlign w:val="center"/>
          </w:tcPr>
          <w:p w:rsidR="00403CD6" w:rsidRDefault="00403CD6">
            <w:pPr>
              <w:rPr>
                <w:rFonts w:ascii="Times New Roman" w:hAnsi="Times New Roman" w:cs="Times New Roman"/>
              </w:rPr>
            </w:pPr>
          </w:p>
        </w:tc>
        <w:tc>
          <w:tcPr>
            <w:tcW w:w="602" w:type="dxa"/>
            <w:vMerge/>
            <w:shd w:val="clear" w:color="auto" w:fill="D3D3D3"/>
            <w:vAlign w:val="center"/>
          </w:tcPr>
          <w:p w:rsidR="00403CD6" w:rsidRDefault="00403CD6">
            <w:pPr>
              <w:rPr>
                <w:rFonts w:ascii="Times New Roman" w:hAnsi="Times New Roman" w:cs="Times New Roman"/>
              </w:rPr>
            </w:pPr>
          </w:p>
        </w:tc>
        <w:tc>
          <w:tcPr>
            <w:tcW w:w="603" w:type="dxa"/>
            <w:vMerge/>
            <w:shd w:val="clear" w:color="auto" w:fill="D3D3D3"/>
            <w:vAlign w:val="center"/>
          </w:tcPr>
          <w:p w:rsidR="00403CD6" w:rsidRDefault="00403CD6">
            <w:pPr>
              <w:rPr>
                <w:rFonts w:ascii="Times New Roman" w:hAnsi="Times New Roman" w:cs="Times New Roman"/>
              </w:rPr>
            </w:pP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一、上年期末余额</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2,979,742,200.00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5,361,200,522.29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128,780,100.00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-821,940,694.57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15,791,710.95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1,212,009,109.97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79,900,268.71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9,390,642,477.57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19,084,565,494.92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4,643,688,325.69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23,728,253,820.61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二、本年期初余额</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2,979,742,200.00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5,361,200,522.29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128,780,100.00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-821,940,694.57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15,791,710.95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1,212,009,109.97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79,900,268.71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9,390,642,477.57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19,084,565,494.92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4,643,688,325.69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23,728,253,820.61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三、本期增减变动金额（减少以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-22,929,000.00 </w:t>
            </w:r>
          </w:p>
        </w:tc>
        <w:tc>
          <w:tcPr>
            <w:tcW w:w="42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-996,000,000.00 </w:t>
            </w:r>
          </w:p>
        </w:tc>
        <w:tc>
          <w:tcPr>
            <w:tcW w:w="42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-32,409,622.68 </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-65,347,650.00 </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-42,940,794.51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7,531,118.62 </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-529,973.80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-1,370,459,676.02 </w:t>
            </w:r>
          </w:p>
        </w:tc>
        <w:tc>
          <w:tcPr>
            <w:tcW w:w="28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   </w:t>
            </w:r>
          </w:p>
        </w:tc>
        <w:tc>
          <w:tcPr>
            <w:tcW w:w="60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-2,392,390,298.39 </w:t>
            </w:r>
          </w:p>
        </w:tc>
        <w:tc>
          <w:tcPr>
            <w:tcW w:w="602"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-238,007,676.59 </w:t>
            </w:r>
          </w:p>
        </w:tc>
        <w:tc>
          <w:tcPr>
            <w:tcW w:w="603"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-2,630,397,974.98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（一）综合收益总额</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42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42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-42,940,794.51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56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-1,281,289,649.82 </w:t>
            </w:r>
          </w:p>
        </w:tc>
        <w:tc>
          <w:tcPr>
            <w:tcW w:w="286" w:type="dxa"/>
            <w:vAlign w:val="center"/>
          </w:tcPr>
          <w:p w:rsidR="00403CD6" w:rsidRDefault="00403CD6">
            <w:pPr>
              <w:spacing w:line="240" w:lineRule="exact"/>
              <w:jc w:val="right"/>
              <w:rPr>
                <w:rFonts w:ascii="Times New Roman" w:hAnsi="Times New Roman" w:cs="Times New Roman"/>
                <w:sz w:val="18"/>
                <w:szCs w:val="18"/>
              </w:rPr>
            </w:pPr>
          </w:p>
        </w:tc>
        <w:tc>
          <w:tcPr>
            <w:tcW w:w="60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-1,324,230,444.33 </w:t>
            </w:r>
          </w:p>
        </w:tc>
        <w:tc>
          <w:tcPr>
            <w:tcW w:w="602"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-45,352,768.04 </w:t>
            </w:r>
          </w:p>
        </w:tc>
        <w:tc>
          <w:tcPr>
            <w:tcW w:w="603"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-1,369,583,212.37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（二）所有者投入和减少资本</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-22,929,000.00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-32,409,622.68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-65,347,650.00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-985,990,972.68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51,682,676.42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-934,308,296.26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．所有者投入的普通股</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t>-</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51,682,676.42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51,682,676.42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．其他权益工具持有者投入资本</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426" w:type="dxa"/>
            <w:vAlign w:val="center"/>
          </w:tcPr>
          <w:p w:rsidR="00403CD6" w:rsidRDefault="00403CD6">
            <w:pPr>
              <w:spacing w:line="240" w:lineRule="exact"/>
              <w:jc w:val="right"/>
              <w:rPr>
                <w:rFonts w:ascii="Times New Roman" w:eastAsia="宋体" w:hAnsi="Times New Roman" w:cs="Times New Roman"/>
                <w:sz w:val="18"/>
                <w:szCs w:val="18"/>
              </w:rPr>
            </w:pP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-4,000,000.00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-1,000,000,000.00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-1,000,000,000.00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．股份支付计入所有者权益的金额</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-22,929,000.00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-69,886,171.92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-65,347,650.00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-27,467,521.92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-27,467,521.92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．其他</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41,476,549.24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41,476,549.24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41,476,549.24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（三）利润分配</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-529,973.80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-89,170,026.20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-254,313,617.44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-344,013,617.44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1</w:t>
            </w:r>
            <w:r>
              <w:rPr>
                <w:rFonts w:ascii="Times New Roman" w:eastAsia="宋体" w:hAnsi="Times New Roman" w:cs="Times New Roman"/>
                <w:sz w:val="18"/>
                <w:szCs w:val="18"/>
              </w:rPr>
              <w:t>．提取一般风险准备</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-529,973.80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529,973.80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2</w:t>
            </w:r>
            <w:r>
              <w:rPr>
                <w:rFonts w:ascii="Times New Roman" w:eastAsia="宋体" w:hAnsi="Times New Roman" w:cs="Times New Roman"/>
                <w:sz w:val="18"/>
                <w:szCs w:val="18"/>
              </w:rPr>
              <w:t>．对所有者（或股东）的分配</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c>
          <w:tcPr>
            <w:tcW w:w="286" w:type="dxa"/>
            <w:vAlign w:val="center"/>
          </w:tcPr>
          <w:p w:rsidR="00403CD6" w:rsidRDefault="00403CD6">
            <w:pPr>
              <w:spacing w:line="240" w:lineRule="exact"/>
              <w:jc w:val="right"/>
              <w:rPr>
                <w:rFonts w:ascii="Times New Roman" w:eastAsia="宋体" w:hAnsi="Times New Roman" w:cs="Times New Roman"/>
                <w:sz w:val="18"/>
                <w:szCs w:val="18"/>
              </w:rPr>
            </w:pP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-254,313,617.44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-344,013,617.44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（四）所有者权益内部结转</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9,976,032.47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9,976,032.47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1</w:t>
            </w:r>
            <w:r>
              <w:rPr>
                <w:rFonts w:ascii="Times New Roman" w:eastAsia="宋体" w:hAnsi="Times New Roman" w:cs="Times New Roman"/>
                <w:sz w:val="18"/>
                <w:szCs w:val="18"/>
              </w:rPr>
              <w:t>．其他</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9,976,032.47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9,976,032.47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（五）专项储</w:t>
            </w:r>
            <w:r>
              <w:rPr>
                <w:rFonts w:ascii="Times New Roman" w:eastAsia="宋体" w:hAnsi="Times New Roman" w:cs="Times New Roman"/>
                <w:sz w:val="18"/>
                <w:szCs w:val="18"/>
              </w:rPr>
              <w:lastRenderedPageBreak/>
              <w:t>备</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lastRenderedPageBreak/>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7,531,118.62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7,531,118.62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7,531,118.62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1</w:t>
            </w:r>
            <w:r>
              <w:rPr>
                <w:rFonts w:ascii="Times New Roman" w:eastAsia="宋体" w:hAnsi="Times New Roman" w:cs="Times New Roman"/>
                <w:sz w:val="18"/>
                <w:szCs w:val="18"/>
              </w:rPr>
              <w:t>．本期提取</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31,146,275.32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286" w:type="dxa"/>
            <w:vAlign w:val="center"/>
          </w:tcPr>
          <w:p w:rsidR="00403CD6" w:rsidRDefault="00403CD6">
            <w:pPr>
              <w:spacing w:line="240" w:lineRule="exact"/>
              <w:jc w:val="right"/>
              <w:rPr>
                <w:rFonts w:ascii="Times New Roman" w:eastAsia="宋体" w:hAnsi="Times New Roman" w:cs="Times New Roman"/>
                <w:sz w:val="18"/>
                <w:szCs w:val="18"/>
              </w:rPr>
            </w:pP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31,146,275.32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31,146,275.32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．本期使用</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-23,615,156.70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28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-23,615,156.70 </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603"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-23,615,156.70 </w:t>
            </w:r>
          </w:p>
        </w:tc>
      </w:tr>
      <w:tr w:rsidR="00403CD6">
        <w:trPr>
          <w:trHeight w:val="240"/>
        </w:trPr>
        <w:tc>
          <w:tcPr>
            <w:tcW w:w="116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四、本期期末余额</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2,956,813,200.00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42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5,328,790,899.61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63,432,450.00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-864,881,489.08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23,322,829.57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1,212,009,109.97 </w:t>
            </w:r>
          </w:p>
        </w:tc>
        <w:tc>
          <w:tcPr>
            <w:tcW w:w="567"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79,370,294.91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8,020,182,801.55</w:t>
            </w:r>
          </w:p>
        </w:tc>
        <w:tc>
          <w:tcPr>
            <w:tcW w:w="286" w:type="dxa"/>
            <w:vAlign w:val="center"/>
          </w:tcPr>
          <w:p w:rsidR="00403CD6" w:rsidRDefault="00403CD6">
            <w:pPr>
              <w:spacing w:line="240" w:lineRule="exact"/>
              <w:jc w:val="right"/>
              <w:rPr>
                <w:rFonts w:ascii="Times New Roman" w:eastAsia="宋体" w:hAnsi="Times New Roman" w:cs="Times New Roman"/>
                <w:sz w:val="18"/>
                <w:szCs w:val="18"/>
              </w:rPr>
            </w:pPr>
          </w:p>
        </w:tc>
        <w:tc>
          <w:tcPr>
            <w:tcW w:w="607"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16,692,175,196.53</w:t>
            </w:r>
          </w:p>
        </w:tc>
        <w:tc>
          <w:tcPr>
            <w:tcW w:w="60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4,405,680,649.10</w:t>
            </w:r>
          </w:p>
        </w:tc>
        <w:tc>
          <w:tcPr>
            <w:tcW w:w="603"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21,097,855,845.63</w:t>
            </w:r>
          </w:p>
        </w:tc>
      </w:tr>
    </w:tbl>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8</w:t>
      </w:r>
      <w:r>
        <w:rPr>
          <w:rFonts w:ascii="Times New Roman" w:eastAsiaTheme="minorEastAsia" w:hAnsi="Times New Roman" w:cs="Times New Roman"/>
          <w:sz w:val="21"/>
        </w:rPr>
        <w:t>、母公司所有者权益变动表</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本期金额</w:t>
      </w:r>
    </w:p>
    <w:p w:rsidR="00403CD6" w:rsidRDefault="00E91A59">
      <w:pPr>
        <w:spacing w:before="120" w:after="12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单位：元</w:t>
      </w:r>
    </w:p>
    <w:tbl>
      <w:tblPr>
        <w:tblW w:w="958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410"/>
        <w:gridCol w:w="750"/>
        <w:gridCol w:w="425"/>
        <w:gridCol w:w="388"/>
        <w:gridCol w:w="525"/>
        <w:gridCol w:w="1050"/>
        <w:gridCol w:w="862"/>
        <w:gridCol w:w="750"/>
        <w:gridCol w:w="838"/>
        <w:gridCol w:w="837"/>
        <w:gridCol w:w="763"/>
        <w:gridCol w:w="987"/>
      </w:tblGrid>
      <w:tr w:rsidR="00403CD6">
        <w:trPr>
          <w:trHeight w:val="284"/>
        </w:trPr>
        <w:tc>
          <w:tcPr>
            <w:tcW w:w="1410"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项目</w:t>
            </w:r>
          </w:p>
        </w:tc>
        <w:tc>
          <w:tcPr>
            <w:tcW w:w="8175" w:type="dxa"/>
            <w:gridSpan w:val="11"/>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2024</w:t>
            </w:r>
            <w:r>
              <w:rPr>
                <w:rFonts w:ascii="Times New Roman" w:eastAsia="宋体" w:hAnsi="Times New Roman" w:cs="Times New Roman"/>
                <w:kern w:val="0"/>
                <w:sz w:val="18"/>
                <w:szCs w:val="18"/>
                <w:lang w:bidi="ar"/>
              </w:rPr>
              <w:t>年度</w:t>
            </w:r>
          </w:p>
        </w:tc>
      </w:tr>
      <w:tr w:rsidR="00403CD6">
        <w:trPr>
          <w:trHeight w:val="284"/>
        </w:trPr>
        <w:tc>
          <w:tcPr>
            <w:tcW w:w="1410"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750"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股本</w:t>
            </w:r>
          </w:p>
        </w:tc>
        <w:tc>
          <w:tcPr>
            <w:tcW w:w="1338" w:type="dxa"/>
            <w:gridSpan w:val="3"/>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其他权益工具</w:t>
            </w:r>
          </w:p>
        </w:tc>
        <w:tc>
          <w:tcPr>
            <w:tcW w:w="1050"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资本公积</w:t>
            </w:r>
          </w:p>
        </w:tc>
        <w:tc>
          <w:tcPr>
            <w:tcW w:w="862"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减：库存股</w:t>
            </w:r>
          </w:p>
        </w:tc>
        <w:tc>
          <w:tcPr>
            <w:tcW w:w="750"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其他综合收益</w:t>
            </w:r>
          </w:p>
        </w:tc>
        <w:tc>
          <w:tcPr>
            <w:tcW w:w="838"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专项储备</w:t>
            </w:r>
          </w:p>
        </w:tc>
        <w:tc>
          <w:tcPr>
            <w:tcW w:w="837"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盈余公积</w:t>
            </w:r>
          </w:p>
        </w:tc>
        <w:tc>
          <w:tcPr>
            <w:tcW w:w="763"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未分配利润</w:t>
            </w:r>
          </w:p>
        </w:tc>
        <w:tc>
          <w:tcPr>
            <w:tcW w:w="987" w:type="dxa"/>
            <w:vMerge w:val="restart"/>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所有者权益合计</w:t>
            </w:r>
          </w:p>
        </w:tc>
      </w:tr>
      <w:tr w:rsidR="00403CD6">
        <w:trPr>
          <w:trHeight w:val="284"/>
        </w:trPr>
        <w:tc>
          <w:tcPr>
            <w:tcW w:w="1410"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750"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425"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优先股</w:t>
            </w:r>
          </w:p>
        </w:tc>
        <w:tc>
          <w:tcPr>
            <w:tcW w:w="388"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永续债</w:t>
            </w:r>
          </w:p>
        </w:tc>
        <w:tc>
          <w:tcPr>
            <w:tcW w:w="525" w:type="dxa"/>
            <w:shd w:val="clear" w:color="auto" w:fill="D3D3D3"/>
            <w:vAlign w:val="center"/>
          </w:tcPr>
          <w:p w:rsidR="00403CD6" w:rsidRDefault="00E91A59">
            <w:pPr>
              <w:widowControl/>
              <w:jc w:val="center"/>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其他</w:t>
            </w:r>
          </w:p>
        </w:tc>
        <w:tc>
          <w:tcPr>
            <w:tcW w:w="1050"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862"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750"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838"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837"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763" w:type="dxa"/>
            <w:vMerge/>
            <w:shd w:val="clear" w:color="auto" w:fill="D3D3D3"/>
            <w:vAlign w:val="center"/>
          </w:tcPr>
          <w:p w:rsidR="00403CD6" w:rsidRDefault="00403CD6">
            <w:pPr>
              <w:jc w:val="center"/>
              <w:rPr>
                <w:rFonts w:ascii="Times New Roman" w:eastAsia="宋体" w:hAnsi="Times New Roman" w:cs="Times New Roman"/>
                <w:sz w:val="18"/>
                <w:szCs w:val="18"/>
              </w:rPr>
            </w:pPr>
          </w:p>
        </w:tc>
        <w:tc>
          <w:tcPr>
            <w:tcW w:w="987" w:type="dxa"/>
            <w:vMerge/>
            <w:shd w:val="clear" w:color="auto" w:fill="D3D3D3"/>
            <w:vAlign w:val="center"/>
          </w:tcPr>
          <w:p w:rsidR="00403CD6" w:rsidRDefault="00403CD6">
            <w:pPr>
              <w:jc w:val="center"/>
              <w:rPr>
                <w:rFonts w:ascii="Times New Roman" w:eastAsia="宋体" w:hAnsi="Times New Roman" w:cs="Times New Roman"/>
                <w:sz w:val="18"/>
                <w:szCs w:val="18"/>
              </w:rPr>
            </w:pP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一、上年期末余额</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2,956,813,200.00 </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5,073,338,869.19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4,612,641.99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1,199,819,528.06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3,138,783,314.72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12,309,935,103.96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二、本年期初余额</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2,956,813,200.00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5,073,338,869.19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4,612,641.99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1,199,819,528.06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3,138,783,314.72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12,309,935,103.96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三、本期增减变动金额（减少以</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w:t>
            </w:r>
            <w:r>
              <w:rPr>
                <w:rFonts w:ascii="Times New Roman" w:eastAsia="宋体" w:hAnsi="Times New Roman" w:cs="Times New Roman"/>
                <w:kern w:val="0"/>
                <w:sz w:val="18"/>
                <w:szCs w:val="18"/>
                <w:lang w:bidi="ar"/>
              </w:rPr>
              <w:t>号填列）</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-41,175,450.00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2,792,624.88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6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c>
          <w:tcPr>
            <w:tcW w:w="9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-664,957,507.26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（一）综合收益总额</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62"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6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c>
          <w:tcPr>
            <w:tcW w:w="9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-667,750,132.14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（二）所有者投入和减少资本</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-41,175,450.00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w:t>
            </w:r>
            <w:r>
              <w:rPr>
                <w:rFonts w:ascii="Times New Roman" w:eastAsia="宋体" w:hAnsi="Times New Roman" w:cs="Times New Roman"/>
                <w:kern w:val="0"/>
                <w:sz w:val="18"/>
                <w:szCs w:val="18"/>
                <w:lang w:bidi="ar"/>
              </w:rPr>
              <w:t>．股份支付计入所有者权益的金额</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-22,257,000.00 </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-41,175,450.00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-63,432,450.00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6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（三）利润分配</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（四）所有者权益内部结转</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（五）专项储备</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2,792,624.88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63"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2,792,624.88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1</w:t>
            </w:r>
            <w:r>
              <w:rPr>
                <w:rFonts w:ascii="Times New Roman" w:eastAsia="宋体" w:hAnsi="Times New Roman" w:cs="Times New Roman"/>
                <w:kern w:val="0"/>
                <w:sz w:val="18"/>
                <w:szCs w:val="18"/>
                <w:lang w:bidi="ar"/>
              </w:rPr>
              <w:t>．本期提取</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62"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2,792,624.88 </w:t>
            </w:r>
          </w:p>
        </w:tc>
        <w:tc>
          <w:tcPr>
            <w:tcW w:w="8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6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2,792,624.88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2</w:t>
            </w:r>
            <w:r>
              <w:rPr>
                <w:rFonts w:ascii="Times New Roman" w:eastAsia="宋体" w:hAnsi="Times New Roman" w:cs="Times New Roman"/>
                <w:kern w:val="0"/>
                <w:sz w:val="18"/>
                <w:szCs w:val="18"/>
                <w:lang w:bidi="ar"/>
              </w:rPr>
              <w:t>．本期使用</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62"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6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（六）其他</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4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38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525"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10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62"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50"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8"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837"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763" w:type="dxa"/>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kern w:val="0"/>
                <w:sz w:val="18"/>
                <w:szCs w:val="18"/>
                <w:lang w:bidi="ar"/>
              </w:rPr>
              <w:t>-</w:t>
            </w:r>
          </w:p>
        </w:tc>
        <w:tc>
          <w:tcPr>
            <w:tcW w:w="98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r>
      <w:tr w:rsidR="00403CD6">
        <w:trPr>
          <w:trHeight w:val="284"/>
        </w:trPr>
        <w:tc>
          <w:tcPr>
            <w:tcW w:w="1410" w:type="dxa"/>
            <w:shd w:val="clear" w:color="auto" w:fill="D3D3D3"/>
            <w:vAlign w:val="center"/>
          </w:tcPr>
          <w:p w:rsidR="00403CD6" w:rsidRDefault="00E91A59">
            <w:pPr>
              <w:widowControl/>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r>
              <w:rPr>
                <w:rFonts w:ascii="Times New Roman" w:eastAsia="宋体" w:hAnsi="Times New Roman" w:cs="Times New Roman"/>
                <w:kern w:val="0"/>
                <w:sz w:val="18"/>
                <w:szCs w:val="18"/>
                <w:lang w:bidi="ar"/>
              </w:rPr>
              <w:t>四、本期期末余额</w:t>
            </w: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2,934,556,200.00 </w:t>
            </w:r>
          </w:p>
        </w:tc>
        <w:tc>
          <w:tcPr>
            <w:tcW w:w="4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38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525"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10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5,032,163,419.19 </w:t>
            </w:r>
          </w:p>
        </w:tc>
        <w:tc>
          <w:tcPr>
            <w:tcW w:w="862"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750"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   </w:t>
            </w:r>
          </w:p>
        </w:tc>
        <w:tc>
          <w:tcPr>
            <w:tcW w:w="838"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7,405,266.87 </w:t>
            </w:r>
          </w:p>
        </w:tc>
        <w:tc>
          <w:tcPr>
            <w:tcW w:w="837" w:type="dxa"/>
            <w:shd w:val="clear" w:color="auto" w:fill="auto"/>
            <w:vAlign w:val="center"/>
          </w:tcPr>
          <w:p w:rsidR="00403CD6" w:rsidRDefault="00E91A59">
            <w:pPr>
              <w:widowControl/>
              <w:jc w:val="right"/>
              <w:textAlignment w:val="center"/>
              <w:rPr>
                <w:rFonts w:ascii="Times New Roman" w:eastAsia="宋体" w:hAnsi="Times New Roman" w:cs="Times New Roman"/>
                <w:sz w:val="18"/>
                <w:szCs w:val="18"/>
              </w:rPr>
            </w:pPr>
            <w:r>
              <w:rPr>
                <w:rFonts w:ascii="Times New Roman" w:eastAsia="宋体" w:hAnsi="Times New Roman" w:cs="Times New Roman"/>
                <w:kern w:val="0"/>
                <w:sz w:val="18"/>
                <w:szCs w:val="18"/>
                <w:lang w:bidi="ar"/>
              </w:rPr>
              <w:t xml:space="preserve">1,199,819,528.06 </w:t>
            </w:r>
          </w:p>
        </w:tc>
        <w:tc>
          <w:tcPr>
            <w:tcW w:w="763"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2,471,033,182.58 </w:t>
            </w:r>
          </w:p>
        </w:tc>
        <w:tc>
          <w:tcPr>
            <w:tcW w:w="987" w:type="dxa"/>
            <w:shd w:val="clear" w:color="auto" w:fill="auto"/>
            <w:vAlign w:val="center"/>
          </w:tcPr>
          <w:p w:rsidR="00403CD6" w:rsidRPr="008A7F3A" w:rsidRDefault="00E91A59" w:rsidP="008A7F3A">
            <w:pPr>
              <w:widowControl/>
              <w:jc w:val="right"/>
              <w:textAlignment w:val="center"/>
              <w:rPr>
                <w:rFonts w:ascii="Times New Roman" w:eastAsia="宋体" w:hAnsi="Times New Roman" w:cs="Times New Roman"/>
                <w:kern w:val="0"/>
                <w:sz w:val="18"/>
                <w:szCs w:val="18"/>
                <w:lang w:bidi="ar"/>
              </w:rPr>
            </w:pPr>
            <w:r w:rsidRPr="008A7F3A">
              <w:rPr>
                <w:rFonts w:ascii="Times New Roman" w:eastAsia="宋体" w:hAnsi="Times New Roman" w:cs="Times New Roman"/>
                <w:kern w:val="0"/>
                <w:sz w:val="18"/>
                <w:szCs w:val="18"/>
                <w:lang w:bidi="ar"/>
              </w:rPr>
              <w:t xml:space="preserve"> 11,644,977,596.70 </w:t>
            </w:r>
          </w:p>
        </w:tc>
      </w:tr>
    </w:tbl>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上期金额</w:t>
      </w:r>
    </w:p>
    <w:p w:rsidR="00403CD6" w:rsidRDefault="00E91A59">
      <w:pPr>
        <w:spacing w:before="120" w:after="12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单位：元</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446"/>
        <w:gridCol w:w="709"/>
        <w:gridCol w:w="425"/>
        <w:gridCol w:w="709"/>
        <w:gridCol w:w="708"/>
        <w:gridCol w:w="709"/>
        <w:gridCol w:w="851"/>
        <w:gridCol w:w="708"/>
        <w:gridCol w:w="709"/>
        <w:gridCol w:w="709"/>
        <w:gridCol w:w="709"/>
        <w:gridCol w:w="501"/>
        <w:gridCol w:w="746"/>
      </w:tblGrid>
      <w:tr w:rsidR="00403CD6">
        <w:trPr>
          <w:trHeight w:val="240"/>
        </w:trPr>
        <w:tc>
          <w:tcPr>
            <w:tcW w:w="1446"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8193" w:type="dxa"/>
            <w:gridSpan w:val="1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2023</w:t>
            </w:r>
            <w:r>
              <w:rPr>
                <w:rFonts w:ascii="Times New Roman" w:eastAsia="宋体" w:hAnsi="Times New Roman" w:cs="Times New Roman"/>
                <w:sz w:val="18"/>
                <w:szCs w:val="18"/>
              </w:rPr>
              <w:t>年度</w:t>
            </w:r>
          </w:p>
        </w:tc>
      </w:tr>
      <w:tr w:rsidR="00403CD6">
        <w:trPr>
          <w:trHeight w:val="240"/>
        </w:trPr>
        <w:tc>
          <w:tcPr>
            <w:tcW w:w="1446" w:type="dxa"/>
            <w:vMerge/>
            <w:shd w:val="clear" w:color="auto" w:fill="D3D3D3"/>
            <w:vAlign w:val="center"/>
          </w:tcPr>
          <w:p w:rsidR="00403CD6" w:rsidRDefault="00403CD6">
            <w:pPr>
              <w:rPr>
                <w:rFonts w:ascii="Times New Roman" w:hAnsi="Times New Roman" w:cs="Times New Roman"/>
              </w:rPr>
            </w:pP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股本</w:t>
            </w:r>
          </w:p>
        </w:tc>
        <w:tc>
          <w:tcPr>
            <w:tcW w:w="1842" w:type="dxa"/>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其他权益工具</w:t>
            </w: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资本公积</w:t>
            </w:r>
          </w:p>
        </w:tc>
        <w:tc>
          <w:tcPr>
            <w:tcW w:w="851"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减：库存股</w:t>
            </w:r>
          </w:p>
        </w:tc>
        <w:tc>
          <w:tcPr>
            <w:tcW w:w="708"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其他综合收益</w:t>
            </w: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专项储备</w:t>
            </w: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盈余公积</w:t>
            </w:r>
          </w:p>
        </w:tc>
        <w:tc>
          <w:tcPr>
            <w:tcW w:w="70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未分配利润</w:t>
            </w:r>
          </w:p>
        </w:tc>
        <w:tc>
          <w:tcPr>
            <w:tcW w:w="501"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46"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所有者权益合计</w:t>
            </w:r>
          </w:p>
        </w:tc>
      </w:tr>
      <w:tr w:rsidR="00403CD6">
        <w:trPr>
          <w:trHeight w:val="240"/>
        </w:trPr>
        <w:tc>
          <w:tcPr>
            <w:tcW w:w="1446" w:type="dxa"/>
            <w:vMerge/>
            <w:shd w:val="clear" w:color="auto" w:fill="D3D3D3"/>
            <w:vAlign w:val="center"/>
          </w:tcPr>
          <w:p w:rsidR="00403CD6" w:rsidRDefault="00403CD6">
            <w:pPr>
              <w:rPr>
                <w:rFonts w:ascii="Times New Roman" w:hAnsi="Times New Roman" w:cs="Times New Roman"/>
              </w:rPr>
            </w:pPr>
          </w:p>
        </w:tc>
        <w:tc>
          <w:tcPr>
            <w:tcW w:w="709" w:type="dxa"/>
            <w:vMerge/>
            <w:shd w:val="clear" w:color="auto" w:fill="D3D3D3"/>
            <w:vAlign w:val="center"/>
          </w:tcPr>
          <w:p w:rsidR="00403CD6" w:rsidRDefault="00403CD6">
            <w:pPr>
              <w:rPr>
                <w:rFonts w:ascii="Times New Roman" w:hAnsi="Times New Roman" w:cs="Times New Roman"/>
              </w:rPr>
            </w:pPr>
          </w:p>
        </w:tc>
        <w:tc>
          <w:tcPr>
            <w:tcW w:w="425"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优先股</w:t>
            </w:r>
          </w:p>
        </w:tc>
        <w:tc>
          <w:tcPr>
            <w:tcW w:w="70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永续债</w:t>
            </w:r>
          </w:p>
        </w:tc>
        <w:tc>
          <w:tcPr>
            <w:tcW w:w="708"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09" w:type="dxa"/>
            <w:vMerge/>
            <w:shd w:val="clear" w:color="auto" w:fill="D3D3D3"/>
            <w:vAlign w:val="center"/>
          </w:tcPr>
          <w:p w:rsidR="00403CD6" w:rsidRDefault="00403CD6">
            <w:pPr>
              <w:rPr>
                <w:rFonts w:ascii="Times New Roman" w:hAnsi="Times New Roman" w:cs="Times New Roman"/>
              </w:rPr>
            </w:pPr>
          </w:p>
        </w:tc>
        <w:tc>
          <w:tcPr>
            <w:tcW w:w="851" w:type="dxa"/>
            <w:vMerge/>
            <w:shd w:val="clear" w:color="auto" w:fill="D3D3D3"/>
            <w:vAlign w:val="center"/>
          </w:tcPr>
          <w:p w:rsidR="00403CD6" w:rsidRDefault="00403CD6">
            <w:pPr>
              <w:rPr>
                <w:rFonts w:ascii="Times New Roman" w:hAnsi="Times New Roman" w:cs="Times New Roman"/>
              </w:rPr>
            </w:pPr>
          </w:p>
        </w:tc>
        <w:tc>
          <w:tcPr>
            <w:tcW w:w="708" w:type="dxa"/>
            <w:vMerge/>
            <w:shd w:val="clear" w:color="auto" w:fill="D3D3D3"/>
            <w:vAlign w:val="center"/>
          </w:tcPr>
          <w:p w:rsidR="00403CD6" w:rsidRDefault="00403CD6">
            <w:pPr>
              <w:rPr>
                <w:rFonts w:ascii="Times New Roman" w:hAnsi="Times New Roman" w:cs="Times New Roman"/>
              </w:rPr>
            </w:pPr>
          </w:p>
        </w:tc>
        <w:tc>
          <w:tcPr>
            <w:tcW w:w="709" w:type="dxa"/>
            <w:vMerge/>
            <w:vAlign w:val="center"/>
          </w:tcPr>
          <w:p w:rsidR="00403CD6" w:rsidRDefault="00403CD6">
            <w:pPr>
              <w:rPr>
                <w:rFonts w:ascii="Times New Roman" w:hAnsi="Times New Roman" w:cs="Times New Roman"/>
              </w:rPr>
            </w:pPr>
          </w:p>
        </w:tc>
        <w:tc>
          <w:tcPr>
            <w:tcW w:w="709" w:type="dxa"/>
            <w:vMerge/>
            <w:shd w:val="clear" w:color="auto" w:fill="D3D3D3"/>
            <w:vAlign w:val="center"/>
          </w:tcPr>
          <w:p w:rsidR="00403CD6" w:rsidRDefault="00403CD6">
            <w:pPr>
              <w:rPr>
                <w:rFonts w:ascii="Times New Roman" w:hAnsi="Times New Roman" w:cs="Times New Roman"/>
              </w:rPr>
            </w:pPr>
          </w:p>
        </w:tc>
        <w:tc>
          <w:tcPr>
            <w:tcW w:w="709" w:type="dxa"/>
            <w:vMerge/>
            <w:shd w:val="clear" w:color="auto" w:fill="D3D3D3"/>
            <w:vAlign w:val="center"/>
          </w:tcPr>
          <w:p w:rsidR="00403CD6" w:rsidRDefault="00403CD6">
            <w:pPr>
              <w:rPr>
                <w:rFonts w:ascii="Times New Roman" w:hAnsi="Times New Roman" w:cs="Times New Roman"/>
              </w:rPr>
            </w:pPr>
          </w:p>
        </w:tc>
        <w:tc>
          <w:tcPr>
            <w:tcW w:w="501" w:type="dxa"/>
            <w:vMerge/>
            <w:vAlign w:val="center"/>
          </w:tcPr>
          <w:p w:rsidR="00403CD6" w:rsidRDefault="00403CD6">
            <w:pPr>
              <w:rPr>
                <w:rFonts w:ascii="Times New Roman" w:hAnsi="Times New Roman" w:cs="Times New Roman"/>
              </w:rPr>
            </w:pPr>
          </w:p>
        </w:tc>
        <w:tc>
          <w:tcPr>
            <w:tcW w:w="746" w:type="dxa"/>
            <w:vMerge/>
            <w:shd w:val="clear" w:color="auto" w:fill="D3D3D3"/>
            <w:vAlign w:val="center"/>
          </w:tcPr>
          <w:p w:rsidR="00403CD6" w:rsidRDefault="00403CD6">
            <w:pPr>
              <w:rPr>
                <w:rFonts w:ascii="Times New Roman" w:hAnsi="Times New Roman" w:cs="Times New Roman"/>
              </w:rPr>
            </w:pP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一、上年期末余额</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2,979,742,200.00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5,147,225,041.11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128,780,100.00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2,066,138.15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1,199,819,528.06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3,121,934,271.16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13,318,007,078.48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二、本年期初余额</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2,979,742,200.00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5,147,225,041.11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128,780,100.00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2,066,138.15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1,199,819,528.06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3,121,934,271.16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13,318,007,078.48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三、本期增减变动金额（减少以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-22,929,000.00 </w:t>
            </w:r>
          </w:p>
        </w:tc>
        <w:tc>
          <w:tcPr>
            <w:tcW w:w="425"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-996,000,000.00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-73,886,171.92 </w:t>
            </w:r>
          </w:p>
        </w:tc>
        <w:tc>
          <w:tcPr>
            <w:tcW w:w="851"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-65,347,650.00 </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2,546,503.84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16,849,043.56</w:t>
            </w:r>
          </w:p>
        </w:tc>
        <w:tc>
          <w:tcPr>
            <w:tcW w:w="501"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     -1,008,071,974.52</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（一）综合收益总额</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851"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106,549,043.56</w:t>
            </w:r>
          </w:p>
        </w:tc>
        <w:tc>
          <w:tcPr>
            <w:tcW w:w="501"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106,549,043.56</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（二）所有者投入和减少资本</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-22,929,000.00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-73,886,171.92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-65,347,650.00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-1,027,467,521.92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1</w:t>
            </w:r>
            <w:r>
              <w:rPr>
                <w:rFonts w:ascii="Times New Roman" w:eastAsia="宋体" w:hAnsi="Times New Roman" w:cs="Times New Roman"/>
                <w:sz w:val="18"/>
                <w:szCs w:val="18"/>
              </w:rPr>
              <w:t>．其他权益工具持有者投入资本</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-996,000,000.00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-4,000,000.00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-1,000,000,000.00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2</w:t>
            </w:r>
            <w:r>
              <w:rPr>
                <w:rFonts w:ascii="Times New Roman" w:eastAsia="宋体" w:hAnsi="Times New Roman" w:cs="Times New Roman"/>
                <w:sz w:val="18"/>
                <w:szCs w:val="18"/>
              </w:rPr>
              <w:t>．股份支付计入所有者权益的金额</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-22,929,000.00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-69,886,171.92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-65,347,650.00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-27,467,521.92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（三）利润分配</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．提取盈余公积</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．对所有者（或股东）的分配</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-89,700,000.00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hint="eastAsia"/>
                <w:sz w:val="18"/>
                <w:szCs w:val="18"/>
              </w:rPr>
              <w:t>四</w:t>
            </w:r>
            <w:r>
              <w:rPr>
                <w:rFonts w:ascii="Times New Roman" w:eastAsia="宋体" w:hAnsi="Times New Roman" w:cs="Times New Roman"/>
                <w:sz w:val="18"/>
                <w:szCs w:val="18"/>
              </w:rPr>
              <w:t>）专项储备</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2,546,503.84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2,546,503.84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．本期提取</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2,569,804.81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2,569,804.81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．本期使用</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-23,300.97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-23,300.97 </w:t>
            </w:r>
          </w:p>
        </w:tc>
      </w:tr>
      <w:tr w:rsidR="00403CD6">
        <w:trPr>
          <w:trHeight w:val="240"/>
        </w:trPr>
        <w:tc>
          <w:tcPr>
            <w:tcW w:w="1446"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bookmarkStart w:id="12" w:name="_Hlk192749931"/>
            <w:r>
              <w:rPr>
                <w:rFonts w:ascii="Times New Roman" w:eastAsia="宋体" w:hAnsi="Times New Roman" w:cs="Times New Roman"/>
                <w:sz w:val="18"/>
                <w:szCs w:val="18"/>
              </w:rPr>
              <w:t>四、本期期末余额</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2,956,813,200.00 </w:t>
            </w:r>
          </w:p>
        </w:tc>
        <w:tc>
          <w:tcPr>
            <w:tcW w:w="42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5,073,338,869.19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63,432,450.00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709"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 xml:space="preserve">4,612,641.99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1,199,819,528.06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3,138,783,314.72</w:t>
            </w:r>
          </w:p>
        </w:tc>
        <w:tc>
          <w:tcPr>
            <w:tcW w:w="50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w:t>
            </w:r>
          </w:p>
        </w:tc>
        <w:tc>
          <w:tcPr>
            <w:tcW w:w="746" w:type="dxa"/>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12,309,935,103.96</w:t>
            </w:r>
          </w:p>
        </w:tc>
      </w:tr>
    </w:tbl>
    <w:p w:rsidR="00403CD6" w:rsidRDefault="00E91A59">
      <w:pPr>
        <w:pStyle w:val="2"/>
        <w:spacing w:before="300" w:after="300" w:line="320" w:lineRule="exact"/>
        <w:rPr>
          <w:rFonts w:ascii="Times New Roman" w:hAnsi="Times New Roman" w:cs="Times New Roman"/>
          <w:b/>
          <w:bCs/>
          <w:sz w:val="24"/>
          <w:szCs w:val="24"/>
        </w:rPr>
      </w:pPr>
      <w:bookmarkStart w:id="13" w:name="_Toc989065"/>
      <w:bookmarkEnd w:id="4"/>
      <w:bookmarkEnd w:id="5"/>
      <w:bookmarkEnd w:id="12"/>
      <w:r>
        <w:rPr>
          <w:rFonts w:ascii="Times New Roman" w:hAnsi="Times New Roman" w:cs="Times New Roman"/>
          <w:b/>
          <w:bCs/>
          <w:sz w:val="24"/>
          <w:szCs w:val="24"/>
        </w:rPr>
        <w:t>三、公司基本情况</w:t>
      </w:r>
      <w:bookmarkEnd w:id="13"/>
    </w:p>
    <w:p w:rsidR="00403CD6" w:rsidRDefault="00E91A59">
      <w:pPr>
        <w:pStyle w:val="30"/>
        <w:spacing w:line="280" w:lineRule="exact"/>
        <w:jc w:val="left"/>
        <w:rPr>
          <w:rFonts w:ascii="Times New Roman" w:eastAsiaTheme="minorEastAsia" w:hAnsi="Times New Roman" w:cs="Times New Roman"/>
          <w:sz w:val="21"/>
        </w:rPr>
      </w:pPr>
      <w:bookmarkStart w:id="14" w:name="_Ref90994996"/>
      <w:bookmarkStart w:id="15" w:name="_Toc989066"/>
      <w:r>
        <w:rPr>
          <w:rFonts w:ascii="Times New Roman" w:eastAsiaTheme="minorEastAsia" w:hAnsi="Times New Roman" w:cs="Times New Roman"/>
          <w:sz w:val="21"/>
        </w:rPr>
        <w:t>1</w:t>
      </w:r>
      <w:r>
        <w:rPr>
          <w:rFonts w:ascii="Times New Roman" w:eastAsiaTheme="minorEastAsia" w:hAnsi="Times New Roman" w:cs="Times New Roman"/>
          <w:sz w:val="21"/>
        </w:rPr>
        <w:t>、公司概况</w:t>
      </w:r>
      <w:bookmarkEnd w:id="14"/>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山东晨鸣纸业集团股份有限公司（以下简称</w:t>
      </w:r>
      <w:r>
        <w:rPr>
          <w:rFonts w:ascii="Times New Roman" w:eastAsia="宋体" w:hAnsi="Times New Roman" w:cs="Times New Roman"/>
          <w:sz w:val="18"/>
          <w:szCs w:val="18"/>
        </w:rPr>
        <w:t>“</w:t>
      </w:r>
      <w:r>
        <w:rPr>
          <w:rFonts w:ascii="Times New Roman" w:eastAsia="宋体" w:hAnsi="Times New Roman" w:cs="Times New Roman"/>
          <w:sz w:val="18"/>
          <w:szCs w:val="18"/>
        </w:rPr>
        <w:t>本公司</w:t>
      </w:r>
      <w:r>
        <w:rPr>
          <w:rFonts w:ascii="Times New Roman" w:eastAsia="宋体" w:hAnsi="Times New Roman" w:cs="Times New Roman"/>
          <w:sz w:val="18"/>
          <w:szCs w:val="18"/>
        </w:rPr>
        <w:t>”</w:t>
      </w:r>
      <w:r>
        <w:rPr>
          <w:rFonts w:ascii="Times New Roman" w:eastAsia="宋体" w:hAnsi="Times New Roman" w:cs="Times New Roman"/>
          <w:sz w:val="18"/>
          <w:szCs w:val="18"/>
        </w:rPr>
        <w:t>）是一家在山东省寿光市注册的股份有限公司，前身为山东省寿光县造纸总厂，于</w:t>
      </w:r>
      <w:r>
        <w:rPr>
          <w:rFonts w:ascii="Times New Roman" w:eastAsia="宋体" w:hAnsi="Times New Roman" w:cs="Times New Roman"/>
          <w:sz w:val="18"/>
          <w:szCs w:val="18"/>
        </w:rPr>
        <w:t>1993</w:t>
      </w:r>
      <w:r>
        <w:rPr>
          <w:rFonts w:ascii="Times New Roman" w:eastAsia="宋体" w:hAnsi="Times New Roman" w:cs="Times New Roman"/>
          <w:sz w:val="18"/>
          <w:szCs w:val="18"/>
        </w:rPr>
        <w:t>年</w:t>
      </w:r>
      <w:r>
        <w:rPr>
          <w:rFonts w:ascii="Times New Roman" w:eastAsia="宋体" w:hAnsi="Times New Roman" w:cs="Times New Roman"/>
          <w:sz w:val="18"/>
          <w:szCs w:val="18"/>
        </w:rPr>
        <w:t>5</w:t>
      </w:r>
      <w:r>
        <w:rPr>
          <w:rFonts w:ascii="Times New Roman" w:eastAsia="宋体" w:hAnsi="Times New Roman" w:cs="Times New Roman"/>
          <w:sz w:val="18"/>
          <w:szCs w:val="18"/>
        </w:rPr>
        <w:t>月改组设立定向募集的股份有限公司。</w:t>
      </w:r>
      <w:r>
        <w:rPr>
          <w:rFonts w:ascii="Times New Roman" w:eastAsia="宋体" w:hAnsi="Times New Roman" w:cs="Times New Roman"/>
          <w:sz w:val="18"/>
          <w:szCs w:val="18"/>
        </w:rPr>
        <w:t>1996</w:t>
      </w:r>
      <w:r>
        <w:rPr>
          <w:rFonts w:ascii="Times New Roman" w:eastAsia="宋体" w:hAnsi="Times New Roman" w:cs="Times New Roman"/>
          <w:sz w:val="18"/>
          <w:szCs w:val="18"/>
        </w:rPr>
        <w:t>年</w:t>
      </w:r>
      <w:r>
        <w:rPr>
          <w:rFonts w:ascii="Times New Roman" w:eastAsia="宋体" w:hAnsi="Times New Roman" w:cs="Times New Roman"/>
          <w:sz w:val="18"/>
          <w:szCs w:val="18"/>
        </w:rPr>
        <w:t>12</w:t>
      </w:r>
      <w:r>
        <w:rPr>
          <w:rFonts w:ascii="Times New Roman" w:eastAsia="宋体" w:hAnsi="Times New Roman" w:cs="Times New Roman"/>
          <w:sz w:val="18"/>
          <w:szCs w:val="18"/>
        </w:rPr>
        <w:t>月，经山东省</w:t>
      </w:r>
      <w:proofErr w:type="gramStart"/>
      <w:r>
        <w:rPr>
          <w:rFonts w:ascii="Times New Roman" w:eastAsia="宋体" w:hAnsi="Times New Roman" w:cs="Times New Roman"/>
          <w:sz w:val="18"/>
          <w:szCs w:val="18"/>
        </w:rPr>
        <w:t>人民政府鲁改字</w:t>
      </w:r>
      <w:proofErr w:type="gramEnd"/>
      <w:r>
        <w:rPr>
          <w:rFonts w:ascii="Times New Roman" w:eastAsia="宋体" w:hAnsi="Times New Roman" w:cs="Times New Roman"/>
          <w:sz w:val="18"/>
          <w:szCs w:val="18"/>
        </w:rPr>
        <w:t>【</w:t>
      </w:r>
      <w:r>
        <w:rPr>
          <w:rFonts w:ascii="Times New Roman" w:eastAsia="宋体" w:hAnsi="Times New Roman" w:cs="Times New Roman"/>
          <w:sz w:val="18"/>
          <w:szCs w:val="18"/>
        </w:rPr>
        <w:t>1996</w:t>
      </w:r>
      <w:r>
        <w:rPr>
          <w:rFonts w:ascii="Times New Roman" w:eastAsia="宋体" w:hAnsi="Times New Roman" w:cs="Times New Roman"/>
          <w:sz w:val="18"/>
          <w:szCs w:val="18"/>
        </w:rPr>
        <w:t>】</w:t>
      </w:r>
      <w:r>
        <w:rPr>
          <w:rFonts w:ascii="Times New Roman" w:eastAsia="宋体" w:hAnsi="Times New Roman" w:cs="Times New Roman"/>
          <w:sz w:val="18"/>
          <w:szCs w:val="18"/>
        </w:rPr>
        <w:t>270</w:t>
      </w:r>
      <w:r>
        <w:rPr>
          <w:rFonts w:ascii="Times New Roman" w:eastAsia="宋体" w:hAnsi="Times New Roman" w:cs="Times New Roman"/>
          <w:sz w:val="18"/>
          <w:szCs w:val="18"/>
        </w:rPr>
        <w:t>号文及国务院证券委员会政委【</w:t>
      </w:r>
      <w:r>
        <w:rPr>
          <w:rFonts w:ascii="Times New Roman" w:eastAsia="宋体" w:hAnsi="Times New Roman" w:cs="Times New Roman"/>
          <w:sz w:val="18"/>
          <w:szCs w:val="18"/>
        </w:rPr>
        <w:t>1996</w:t>
      </w:r>
      <w:r>
        <w:rPr>
          <w:rFonts w:ascii="Times New Roman" w:eastAsia="宋体" w:hAnsi="Times New Roman" w:cs="Times New Roman"/>
          <w:sz w:val="18"/>
          <w:szCs w:val="18"/>
        </w:rPr>
        <w:t>】</w:t>
      </w:r>
      <w:r>
        <w:rPr>
          <w:rFonts w:ascii="Times New Roman" w:eastAsia="宋体" w:hAnsi="Times New Roman" w:cs="Times New Roman"/>
          <w:sz w:val="18"/>
          <w:szCs w:val="18"/>
        </w:rPr>
        <w:t>59</w:t>
      </w:r>
      <w:r>
        <w:rPr>
          <w:rFonts w:ascii="Times New Roman" w:eastAsia="宋体" w:hAnsi="Times New Roman" w:cs="Times New Roman"/>
          <w:sz w:val="18"/>
          <w:szCs w:val="18"/>
        </w:rPr>
        <w:t>号文批准，本公司改组为募集设立的股份有限公司。本公司总部位于山东省寿光市农圣东街</w:t>
      </w:r>
      <w:r>
        <w:rPr>
          <w:rFonts w:ascii="Times New Roman" w:eastAsia="宋体" w:hAnsi="Times New Roman" w:cs="Times New Roman"/>
          <w:sz w:val="18"/>
          <w:szCs w:val="18"/>
        </w:rPr>
        <w:t>2199</w:t>
      </w:r>
      <w:r>
        <w:rPr>
          <w:rFonts w:ascii="Times New Roman" w:eastAsia="宋体" w:hAnsi="Times New Roman" w:cs="Times New Roman"/>
          <w:sz w:val="18"/>
          <w:szCs w:val="18"/>
        </w:rPr>
        <w:t>号。</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1997</w:t>
      </w:r>
      <w:r>
        <w:rPr>
          <w:rFonts w:ascii="Times New Roman" w:eastAsia="宋体" w:hAnsi="Times New Roman" w:cs="Times New Roman"/>
          <w:sz w:val="18"/>
          <w:szCs w:val="18"/>
        </w:rPr>
        <w:t>年</w:t>
      </w:r>
      <w:r>
        <w:rPr>
          <w:rFonts w:ascii="Times New Roman" w:eastAsia="宋体" w:hAnsi="Times New Roman" w:cs="Times New Roman"/>
          <w:sz w:val="18"/>
          <w:szCs w:val="18"/>
        </w:rPr>
        <w:t>5</w:t>
      </w:r>
      <w:r>
        <w:rPr>
          <w:rFonts w:ascii="Times New Roman" w:eastAsia="宋体" w:hAnsi="Times New Roman" w:cs="Times New Roman"/>
          <w:sz w:val="18"/>
          <w:szCs w:val="18"/>
        </w:rPr>
        <w:t>月，经国务院证券委员会政委发【</w:t>
      </w:r>
      <w:r>
        <w:rPr>
          <w:rFonts w:ascii="Times New Roman" w:eastAsia="宋体" w:hAnsi="Times New Roman" w:cs="Times New Roman"/>
          <w:sz w:val="18"/>
          <w:szCs w:val="18"/>
        </w:rPr>
        <w:t>1997</w:t>
      </w:r>
      <w:r>
        <w:rPr>
          <w:rFonts w:ascii="Times New Roman" w:eastAsia="宋体" w:hAnsi="Times New Roman" w:cs="Times New Roman"/>
          <w:sz w:val="18"/>
          <w:szCs w:val="18"/>
        </w:rPr>
        <w:t>】</w:t>
      </w:r>
      <w:r>
        <w:rPr>
          <w:rFonts w:ascii="Times New Roman" w:eastAsia="宋体" w:hAnsi="Times New Roman" w:cs="Times New Roman"/>
          <w:sz w:val="18"/>
          <w:szCs w:val="18"/>
        </w:rPr>
        <w:t>26</w:t>
      </w:r>
      <w:r>
        <w:rPr>
          <w:rFonts w:ascii="Times New Roman" w:eastAsia="宋体" w:hAnsi="Times New Roman" w:cs="Times New Roman"/>
          <w:sz w:val="18"/>
          <w:szCs w:val="18"/>
        </w:rPr>
        <w:t>号文批准，本公司公开发行境内上市外资股（</w:t>
      </w:r>
      <w:r>
        <w:rPr>
          <w:rFonts w:ascii="Times New Roman" w:eastAsia="宋体" w:hAnsi="Times New Roman" w:cs="Times New Roman"/>
          <w:sz w:val="18"/>
          <w:szCs w:val="18"/>
        </w:rPr>
        <w:t>B</w:t>
      </w:r>
      <w:r>
        <w:rPr>
          <w:rFonts w:ascii="Times New Roman" w:eastAsia="宋体" w:hAnsi="Times New Roman" w:cs="Times New Roman"/>
          <w:sz w:val="18"/>
          <w:szCs w:val="18"/>
        </w:rPr>
        <w:t>股）</w:t>
      </w:r>
      <w:r>
        <w:rPr>
          <w:rFonts w:ascii="Times New Roman" w:eastAsia="宋体" w:hAnsi="Times New Roman" w:cs="Times New Roman"/>
          <w:sz w:val="18"/>
          <w:szCs w:val="18"/>
        </w:rPr>
        <w:t>11,500</w:t>
      </w:r>
      <w:r>
        <w:rPr>
          <w:rFonts w:ascii="Times New Roman" w:eastAsia="宋体" w:hAnsi="Times New Roman" w:cs="Times New Roman"/>
          <w:sz w:val="18"/>
          <w:szCs w:val="18"/>
        </w:rPr>
        <w:t>万股。本次发行的</w:t>
      </w:r>
      <w:r>
        <w:rPr>
          <w:rFonts w:ascii="Times New Roman" w:eastAsia="宋体" w:hAnsi="Times New Roman" w:cs="Times New Roman"/>
          <w:sz w:val="18"/>
          <w:szCs w:val="18"/>
        </w:rPr>
        <w:t>B</w:t>
      </w:r>
      <w:r>
        <w:rPr>
          <w:rFonts w:ascii="Times New Roman" w:eastAsia="宋体" w:hAnsi="Times New Roman" w:cs="Times New Roman"/>
          <w:sz w:val="18"/>
          <w:szCs w:val="18"/>
        </w:rPr>
        <w:t>股股票于</w:t>
      </w:r>
      <w:r>
        <w:rPr>
          <w:rFonts w:ascii="Times New Roman" w:eastAsia="宋体" w:hAnsi="Times New Roman" w:cs="Times New Roman"/>
          <w:sz w:val="18"/>
          <w:szCs w:val="18"/>
        </w:rPr>
        <w:t>1997</w:t>
      </w:r>
      <w:r>
        <w:rPr>
          <w:rFonts w:ascii="Times New Roman" w:eastAsia="宋体" w:hAnsi="Times New Roman" w:cs="Times New Roman"/>
          <w:sz w:val="18"/>
          <w:szCs w:val="18"/>
        </w:rPr>
        <w:t>年</w:t>
      </w:r>
      <w:r>
        <w:rPr>
          <w:rFonts w:ascii="Times New Roman" w:eastAsia="宋体" w:hAnsi="Times New Roman" w:cs="Times New Roman"/>
          <w:sz w:val="18"/>
          <w:szCs w:val="18"/>
        </w:rPr>
        <w:t>5</w:t>
      </w:r>
      <w:r>
        <w:rPr>
          <w:rFonts w:ascii="Times New Roman" w:eastAsia="宋体" w:hAnsi="Times New Roman" w:cs="Times New Roman"/>
          <w:sz w:val="18"/>
          <w:szCs w:val="18"/>
        </w:rPr>
        <w:t>月</w:t>
      </w:r>
      <w:r>
        <w:rPr>
          <w:rFonts w:ascii="Times New Roman" w:eastAsia="宋体" w:hAnsi="Times New Roman" w:cs="Times New Roman"/>
          <w:sz w:val="18"/>
          <w:szCs w:val="18"/>
        </w:rPr>
        <w:t>26</w:t>
      </w:r>
      <w:r>
        <w:rPr>
          <w:rFonts w:ascii="Times New Roman" w:eastAsia="宋体" w:hAnsi="Times New Roman" w:cs="Times New Roman"/>
          <w:sz w:val="18"/>
          <w:szCs w:val="18"/>
        </w:rPr>
        <w:t>日起在深圳证券交易所挂牌交易。</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2000</w:t>
      </w:r>
      <w:r>
        <w:rPr>
          <w:rFonts w:ascii="Times New Roman" w:eastAsia="宋体" w:hAnsi="Times New Roman" w:cs="Times New Roman"/>
          <w:sz w:val="18"/>
          <w:szCs w:val="18"/>
        </w:rPr>
        <w:t>年</w:t>
      </w:r>
      <w:r>
        <w:rPr>
          <w:rFonts w:ascii="Times New Roman" w:eastAsia="宋体" w:hAnsi="Times New Roman" w:cs="Times New Roman"/>
          <w:sz w:val="18"/>
          <w:szCs w:val="18"/>
        </w:rPr>
        <w:t>9</w:t>
      </w:r>
      <w:r>
        <w:rPr>
          <w:rFonts w:ascii="Times New Roman" w:eastAsia="宋体" w:hAnsi="Times New Roman" w:cs="Times New Roman"/>
          <w:sz w:val="18"/>
          <w:szCs w:val="18"/>
        </w:rPr>
        <w:t>月，经中国证券监督管理委员会证</w:t>
      </w:r>
      <w:proofErr w:type="gramStart"/>
      <w:r>
        <w:rPr>
          <w:rFonts w:ascii="Times New Roman" w:eastAsia="宋体" w:hAnsi="Times New Roman" w:cs="Times New Roman"/>
          <w:sz w:val="18"/>
          <w:szCs w:val="18"/>
        </w:rPr>
        <w:t>监公司字</w:t>
      </w:r>
      <w:proofErr w:type="gramEnd"/>
      <w:r>
        <w:rPr>
          <w:rFonts w:ascii="Times New Roman" w:eastAsia="宋体" w:hAnsi="Times New Roman" w:cs="Times New Roman"/>
          <w:sz w:val="18"/>
          <w:szCs w:val="18"/>
        </w:rPr>
        <w:t>【</w:t>
      </w:r>
      <w:r>
        <w:rPr>
          <w:rFonts w:ascii="Times New Roman" w:eastAsia="宋体" w:hAnsi="Times New Roman" w:cs="Times New Roman"/>
          <w:sz w:val="18"/>
          <w:szCs w:val="18"/>
        </w:rPr>
        <w:t>2000</w:t>
      </w:r>
      <w:r>
        <w:rPr>
          <w:rFonts w:ascii="Times New Roman" w:eastAsia="宋体" w:hAnsi="Times New Roman" w:cs="Times New Roman"/>
          <w:sz w:val="18"/>
          <w:szCs w:val="18"/>
        </w:rPr>
        <w:t>】</w:t>
      </w:r>
      <w:r>
        <w:rPr>
          <w:rFonts w:ascii="Times New Roman" w:eastAsia="宋体" w:hAnsi="Times New Roman" w:cs="Times New Roman"/>
          <w:sz w:val="18"/>
          <w:szCs w:val="18"/>
        </w:rPr>
        <w:t>151</w:t>
      </w:r>
      <w:r>
        <w:rPr>
          <w:rFonts w:ascii="Times New Roman" w:eastAsia="宋体" w:hAnsi="Times New Roman" w:cs="Times New Roman"/>
          <w:sz w:val="18"/>
          <w:szCs w:val="18"/>
        </w:rPr>
        <w:t>号文批准，本公司增发人民币普通股股票（</w:t>
      </w:r>
      <w:r>
        <w:rPr>
          <w:rFonts w:ascii="Times New Roman" w:eastAsia="宋体" w:hAnsi="Times New Roman" w:cs="Times New Roman"/>
          <w:sz w:val="18"/>
          <w:szCs w:val="18"/>
        </w:rPr>
        <w:t>A</w:t>
      </w:r>
      <w:r>
        <w:rPr>
          <w:rFonts w:ascii="Times New Roman" w:eastAsia="宋体" w:hAnsi="Times New Roman" w:cs="Times New Roman"/>
          <w:sz w:val="18"/>
          <w:szCs w:val="18"/>
        </w:rPr>
        <w:t>股）</w:t>
      </w:r>
      <w:r>
        <w:rPr>
          <w:rFonts w:ascii="Times New Roman" w:eastAsia="宋体" w:hAnsi="Times New Roman" w:cs="Times New Roman"/>
          <w:sz w:val="18"/>
          <w:szCs w:val="18"/>
        </w:rPr>
        <w:t>7,000</w:t>
      </w:r>
      <w:r>
        <w:rPr>
          <w:rFonts w:ascii="Times New Roman" w:eastAsia="宋体" w:hAnsi="Times New Roman" w:cs="Times New Roman"/>
          <w:sz w:val="18"/>
          <w:szCs w:val="18"/>
        </w:rPr>
        <w:t>万股。本次增发的</w:t>
      </w:r>
      <w:r>
        <w:rPr>
          <w:rFonts w:ascii="Times New Roman" w:eastAsia="宋体" w:hAnsi="Times New Roman" w:cs="Times New Roman"/>
          <w:sz w:val="18"/>
          <w:szCs w:val="18"/>
        </w:rPr>
        <w:t>A</w:t>
      </w:r>
      <w:r>
        <w:rPr>
          <w:rFonts w:ascii="Times New Roman" w:eastAsia="宋体" w:hAnsi="Times New Roman" w:cs="Times New Roman"/>
          <w:sz w:val="18"/>
          <w:szCs w:val="18"/>
        </w:rPr>
        <w:t>股股票于</w:t>
      </w:r>
      <w:r>
        <w:rPr>
          <w:rFonts w:ascii="Times New Roman" w:eastAsia="宋体" w:hAnsi="Times New Roman" w:cs="Times New Roman"/>
          <w:sz w:val="18"/>
          <w:szCs w:val="18"/>
        </w:rPr>
        <w:t>2000</w:t>
      </w:r>
      <w:r>
        <w:rPr>
          <w:rFonts w:ascii="Times New Roman" w:eastAsia="宋体" w:hAnsi="Times New Roman" w:cs="Times New Roman"/>
          <w:sz w:val="18"/>
          <w:szCs w:val="18"/>
        </w:rPr>
        <w:t>年</w:t>
      </w:r>
      <w:r>
        <w:rPr>
          <w:rFonts w:ascii="Times New Roman" w:eastAsia="宋体" w:hAnsi="Times New Roman" w:cs="Times New Roman"/>
          <w:sz w:val="18"/>
          <w:szCs w:val="18"/>
        </w:rPr>
        <w:t>11</w:t>
      </w:r>
      <w:r>
        <w:rPr>
          <w:rFonts w:ascii="Times New Roman" w:eastAsia="宋体" w:hAnsi="Times New Roman" w:cs="Times New Roman"/>
          <w:sz w:val="18"/>
          <w:szCs w:val="18"/>
        </w:rPr>
        <w:t>月</w:t>
      </w:r>
      <w:r>
        <w:rPr>
          <w:rFonts w:ascii="Times New Roman" w:eastAsia="宋体" w:hAnsi="Times New Roman" w:cs="Times New Roman"/>
          <w:sz w:val="18"/>
          <w:szCs w:val="18"/>
        </w:rPr>
        <w:t>20</w:t>
      </w:r>
      <w:r>
        <w:rPr>
          <w:rFonts w:ascii="Times New Roman" w:eastAsia="宋体" w:hAnsi="Times New Roman" w:cs="Times New Roman"/>
          <w:sz w:val="18"/>
          <w:szCs w:val="18"/>
        </w:rPr>
        <w:t>日起在深圳证券交易所挂牌交易。</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2008</w:t>
      </w:r>
      <w:r>
        <w:rPr>
          <w:rFonts w:ascii="Times New Roman" w:eastAsia="宋体" w:hAnsi="Times New Roman" w:cs="Times New Roman"/>
          <w:sz w:val="18"/>
          <w:szCs w:val="18"/>
        </w:rPr>
        <w:t>年</w:t>
      </w:r>
      <w:r>
        <w:rPr>
          <w:rFonts w:ascii="Times New Roman" w:eastAsia="宋体" w:hAnsi="Times New Roman" w:cs="Times New Roman"/>
          <w:sz w:val="18"/>
          <w:szCs w:val="18"/>
        </w:rPr>
        <w:t>6</w:t>
      </w:r>
      <w:r>
        <w:rPr>
          <w:rFonts w:ascii="Times New Roman" w:eastAsia="宋体" w:hAnsi="Times New Roman" w:cs="Times New Roman"/>
          <w:sz w:val="18"/>
          <w:szCs w:val="18"/>
        </w:rPr>
        <w:t>月，经香港联合交易所有限公司核准，本公司发行</w:t>
      </w:r>
      <w:r>
        <w:rPr>
          <w:rFonts w:ascii="Times New Roman" w:eastAsia="宋体" w:hAnsi="Times New Roman" w:cs="Times New Roman"/>
          <w:sz w:val="18"/>
          <w:szCs w:val="18"/>
        </w:rPr>
        <w:t>35,570</w:t>
      </w:r>
      <w:r>
        <w:rPr>
          <w:rFonts w:ascii="Times New Roman" w:eastAsia="宋体" w:hAnsi="Times New Roman" w:cs="Times New Roman"/>
          <w:sz w:val="18"/>
          <w:szCs w:val="18"/>
        </w:rPr>
        <w:t>万股</w:t>
      </w:r>
      <w:r>
        <w:rPr>
          <w:rFonts w:ascii="Times New Roman" w:eastAsia="宋体" w:hAnsi="Times New Roman" w:cs="Times New Roman"/>
          <w:sz w:val="18"/>
          <w:szCs w:val="18"/>
        </w:rPr>
        <w:t>H</w:t>
      </w:r>
      <w:r>
        <w:rPr>
          <w:rFonts w:ascii="Times New Roman" w:eastAsia="宋体" w:hAnsi="Times New Roman" w:cs="Times New Roman"/>
          <w:sz w:val="18"/>
          <w:szCs w:val="18"/>
        </w:rPr>
        <w:t>股。同时本公司相关国有股东为进行国有股减持而划拨给全国社会保障基金理事会并转为境外上市外资股（</w:t>
      </w:r>
      <w:r>
        <w:rPr>
          <w:rFonts w:ascii="Times New Roman" w:eastAsia="宋体" w:hAnsi="Times New Roman" w:cs="Times New Roman"/>
          <w:sz w:val="18"/>
          <w:szCs w:val="18"/>
        </w:rPr>
        <w:t>H</w:t>
      </w:r>
      <w:r>
        <w:rPr>
          <w:rFonts w:ascii="Times New Roman" w:eastAsia="宋体" w:hAnsi="Times New Roman" w:cs="Times New Roman"/>
          <w:sz w:val="18"/>
          <w:szCs w:val="18"/>
        </w:rPr>
        <w:t>股）的股票</w:t>
      </w:r>
      <w:r>
        <w:rPr>
          <w:rFonts w:ascii="Times New Roman" w:eastAsia="宋体" w:hAnsi="Times New Roman" w:cs="Times New Roman"/>
          <w:sz w:val="18"/>
          <w:szCs w:val="18"/>
        </w:rPr>
        <w:t>3,557</w:t>
      </w:r>
      <w:r>
        <w:rPr>
          <w:rFonts w:ascii="Times New Roman" w:eastAsia="宋体" w:hAnsi="Times New Roman" w:cs="Times New Roman"/>
          <w:sz w:val="18"/>
          <w:szCs w:val="18"/>
        </w:rPr>
        <w:t>万股。本次增发的</w:t>
      </w:r>
      <w:r>
        <w:rPr>
          <w:rFonts w:ascii="Times New Roman" w:eastAsia="宋体" w:hAnsi="Times New Roman" w:cs="Times New Roman"/>
          <w:sz w:val="18"/>
          <w:szCs w:val="18"/>
        </w:rPr>
        <w:t>H</w:t>
      </w:r>
      <w:r>
        <w:rPr>
          <w:rFonts w:ascii="Times New Roman" w:eastAsia="宋体" w:hAnsi="Times New Roman" w:cs="Times New Roman"/>
          <w:sz w:val="18"/>
          <w:szCs w:val="18"/>
        </w:rPr>
        <w:t>股股票于</w:t>
      </w:r>
      <w:r>
        <w:rPr>
          <w:rFonts w:ascii="Times New Roman" w:eastAsia="宋体" w:hAnsi="Times New Roman" w:cs="Times New Roman"/>
          <w:sz w:val="18"/>
          <w:szCs w:val="18"/>
        </w:rPr>
        <w:lastRenderedPageBreak/>
        <w:t>2008</w:t>
      </w:r>
      <w:r>
        <w:rPr>
          <w:rFonts w:ascii="Times New Roman" w:eastAsia="宋体" w:hAnsi="Times New Roman" w:cs="Times New Roman"/>
          <w:sz w:val="18"/>
          <w:szCs w:val="18"/>
        </w:rPr>
        <w:t>年</w:t>
      </w:r>
      <w:r>
        <w:rPr>
          <w:rFonts w:ascii="Times New Roman" w:eastAsia="宋体" w:hAnsi="Times New Roman" w:cs="Times New Roman"/>
          <w:sz w:val="18"/>
          <w:szCs w:val="18"/>
        </w:rPr>
        <w:t>6</w:t>
      </w:r>
      <w:r>
        <w:rPr>
          <w:rFonts w:ascii="Times New Roman" w:eastAsia="宋体" w:hAnsi="Times New Roman" w:cs="Times New Roman"/>
          <w:sz w:val="18"/>
          <w:szCs w:val="18"/>
        </w:rPr>
        <w:t>月</w:t>
      </w:r>
      <w:r>
        <w:rPr>
          <w:rFonts w:ascii="Times New Roman" w:eastAsia="宋体" w:hAnsi="Times New Roman" w:cs="Times New Roman"/>
          <w:sz w:val="18"/>
          <w:szCs w:val="18"/>
        </w:rPr>
        <w:t>18</w:t>
      </w:r>
      <w:r>
        <w:rPr>
          <w:rFonts w:ascii="Times New Roman" w:eastAsia="宋体" w:hAnsi="Times New Roman" w:cs="Times New Roman"/>
          <w:sz w:val="18"/>
          <w:szCs w:val="18"/>
        </w:rPr>
        <w:t>日在香港联交所挂牌交易。</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截至</w:t>
      </w:r>
      <w:r>
        <w:rPr>
          <w:rFonts w:ascii="Times New Roman" w:eastAsia="宋体" w:hAnsi="Times New Roman" w:cs="Times New Roman"/>
          <w:sz w:val="18"/>
          <w:szCs w:val="18"/>
        </w:rPr>
        <w:t>2024</w:t>
      </w:r>
      <w:r>
        <w:rPr>
          <w:rFonts w:ascii="Times New Roman" w:eastAsia="宋体" w:hAnsi="Times New Roman" w:cs="Times New Roman"/>
          <w:sz w:val="18"/>
          <w:szCs w:val="18"/>
        </w:rPr>
        <w:t>年</w:t>
      </w:r>
      <w:r>
        <w:rPr>
          <w:rFonts w:ascii="Times New Roman" w:eastAsia="宋体" w:hAnsi="Times New Roman" w:cs="Times New Roman"/>
          <w:sz w:val="18"/>
          <w:szCs w:val="18"/>
        </w:rPr>
        <w:t>12</w:t>
      </w:r>
      <w:r>
        <w:rPr>
          <w:rFonts w:ascii="Times New Roman" w:eastAsia="宋体" w:hAnsi="Times New Roman" w:cs="Times New Roman"/>
          <w:sz w:val="18"/>
          <w:szCs w:val="18"/>
        </w:rPr>
        <w:t>月</w:t>
      </w:r>
      <w:r>
        <w:rPr>
          <w:rFonts w:ascii="Times New Roman" w:eastAsia="宋体" w:hAnsi="Times New Roman" w:cs="Times New Roman"/>
          <w:sz w:val="18"/>
          <w:szCs w:val="18"/>
        </w:rPr>
        <w:t>31</w:t>
      </w:r>
      <w:r>
        <w:rPr>
          <w:rFonts w:ascii="Times New Roman" w:eastAsia="宋体" w:hAnsi="Times New Roman" w:cs="Times New Roman"/>
          <w:sz w:val="18"/>
          <w:szCs w:val="18"/>
        </w:rPr>
        <w:t>日，本公司股本总额为</w:t>
      </w:r>
      <w:r>
        <w:rPr>
          <w:rFonts w:ascii="Times New Roman" w:eastAsia="宋体" w:hAnsi="Times New Roman" w:cs="Times New Roman"/>
          <w:sz w:val="18"/>
          <w:szCs w:val="18"/>
        </w:rPr>
        <w:t>293,455.62</w:t>
      </w:r>
      <w:r>
        <w:rPr>
          <w:rFonts w:ascii="Times New Roman" w:eastAsia="宋体" w:hAnsi="Times New Roman" w:cs="Times New Roman"/>
          <w:sz w:val="18"/>
          <w:szCs w:val="18"/>
        </w:rPr>
        <w:t>万股，详见附注</w:t>
      </w:r>
      <w:r>
        <w:rPr>
          <w:rFonts w:ascii="Times New Roman" w:eastAsia="宋体" w:hAnsi="Times New Roman" w:cs="Times New Roman" w:hint="eastAsia"/>
          <w:sz w:val="18"/>
          <w:szCs w:val="18"/>
        </w:rPr>
        <w:t>七</w:t>
      </w:r>
      <w:r>
        <w:rPr>
          <w:rFonts w:ascii="Times New Roman" w:eastAsia="宋体" w:hAnsi="Times New Roman" w:cs="Times New Roman"/>
          <w:sz w:val="18"/>
          <w:szCs w:val="18"/>
        </w:rPr>
        <w:t>、</w:t>
      </w:r>
      <w:r>
        <w:rPr>
          <w:rFonts w:ascii="Times New Roman" w:eastAsia="宋体" w:hAnsi="Times New Roman" w:cs="Times New Roman"/>
          <w:sz w:val="18"/>
          <w:szCs w:val="18"/>
        </w:rPr>
        <w:t>40</w:t>
      </w:r>
      <w:r>
        <w:rPr>
          <w:rFonts w:ascii="Times New Roman" w:eastAsia="宋体" w:hAnsi="Times New Roman" w:cs="Times New Roman"/>
          <w:sz w:val="18"/>
          <w:szCs w:val="18"/>
        </w:rPr>
        <w:t>。</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主要经营活动：本公司主要从事机制纸及纸板等纸制品和造纸原材料、造纸机械、造纸化工用品的加工、销售，电力、热力的生产、销售，林木种植、苗木培育、木材及建筑材料的加工及销售，木制品的生产、加工及销售，酒店服务、设备融资租赁经营、投资性房地产及物业服务等。</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本财务报表及财务报表附注已经本公司第十届董事会第十二次会议于</w:t>
      </w:r>
      <w:r>
        <w:rPr>
          <w:rFonts w:ascii="Times New Roman" w:eastAsia="宋体" w:hAnsi="Times New Roman" w:cs="Times New Roman"/>
          <w:sz w:val="18"/>
          <w:szCs w:val="18"/>
        </w:rPr>
        <w:t>2025</w:t>
      </w:r>
      <w:r>
        <w:rPr>
          <w:rFonts w:ascii="Times New Roman" w:eastAsia="宋体" w:hAnsi="Times New Roman" w:cs="Times New Roman"/>
          <w:sz w:val="18"/>
          <w:szCs w:val="18"/>
        </w:rPr>
        <w:t>年</w:t>
      </w:r>
      <w:r>
        <w:rPr>
          <w:rFonts w:ascii="Times New Roman" w:eastAsia="宋体" w:hAnsi="Times New Roman" w:cs="Times New Roman"/>
          <w:sz w:val="18"/>
          <w:szCs w:val="18"/>
        </w:rPr>
        <w:t>3</w:t>
      </w:r>
      <w:r>
        <w:rPr>
          <w:rFonts w:ascii="Times New Roman" w:eastAsia="宋体" w:hAnsi="Times New Roman" w:cs="Times New Roman"/>
          <w:sz w:val="18"/>
          <w:szCs w:val="18"/>
        </w:rPr>
        <w:t>月</w:t>
      </w:r>
      <w:r>
        <w:rPr>
          <w:rFonts w:ascii="Times New Roman" w:eastAsia="宋体" w:hAnsi="Times New Roman" w:cs="Times New Roman" w:hint="eastAsia"/>
          <w:sz w:val="18"/>
          <w:szCs w:val="18"/>
        </w:rPr>
        <w:t>31</w:t>
      </w:r>
      <w:r>
        <w:rPr>
          <w:rFonts w:ascii="Times New Roman" w:eastAsia="宋体" w:hAnsi="Times New Roman" w:cs="Times New Roman"/>
          <w:sz w:val="18"/>
          <w:szCs w:val="18"/>
        </w:rPr>
        <w:t>日批准。</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2</w:t>
      </w:r>
      <w:r>
        <w:rPr>
          <w:rFonts w:ascii="Times New Roman" w:eastAsiaTheme="minorEastAsia" w:hAnsi="Times New Roman" w:cs="Times New Roman"/>
          <w:sz w:val="21"/>
        </w:rPr>
        <w:t>、合并财务报表范围</w:t>
      </w:r>
    </w:p>
    <w:p w:rsidR="00403CD6" w:rsidRDefault="00E91A59">
      <w:pPr>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本公司</w:t>
      </w:r>
      <w:r>
        <w:rPr>
          <w:rFonts w:ascii="Times New Roman" w:eastAsia="宋体" w:hAnsi="Times New Roman" w:cs="Times New Roman"/>
          <w:sz w:val="18"/>
          <w:szCs w:val="18"/>
        </w:rPr>
        <w:t>2024</w:t>
      </w:r>
      <w:r>
        <w:rPr>
          <w:rFonts w:ascii="Times New Roman" w:eastAsia="宋体" w:hAnsi="Times New Roman" w:cs="Times New Roman"/>
          <w:sz w:val="18"/>
          <w:szCs w:val="18"/>
        </w:rPr>
        <w:t>年度纳入合并范围的子公司共</w:t>
      </w:r>
      <w:r>
        <w:rPr>
          <w:rFonts w:ascii="Times New Roman" w:eastAsia="宋体" w:hAnsi="Times New Roman" w:cs="Times New Roman"/>
          <w:sz w:val="18"/>
          <w:szCs w:val="18"/>
        </w:rPr>
        <w:t>76</w:t>
      </w:r>
      <w:r>
        <w:rPr>
          <w:rFonts w:ascii="Times New Roman" w:eastAsia="宋体" w:hAnsi="Times New Roman" w:cs="Times New Roman"/>
          <w:sz w:val="18"/>
          <w:szCs w:val="18"/>
        </w:rPr>
        <w:t>户，详见本附注十</w:t>
      </w:r>
      <w:r>
        <w:rPr>
          <w:rFonts w:ascii="Times New Roman" w:eastAsia="宋体" w:hAnsi="Times New Roman" w:cs="Times New Roman"/>
          <w:sz w:val="18"/>
          <w:szCs w:val="18"/>
        </w:rPr>
        <w:t>“</w:t>
      </w:r>
      <w:r>
        <w:rPr>
          <w:rFonts w:ascii="Times New Roman" w:eastAsia="宋体" w:hAnsi="Times New Roman" w:cs="Times New Roman"/>
          <w:sz w:val="18"/>
          <w:szCs w:val="18"/>
        </w:rPr>
        <w:t>在其他主体中的权益</w:t>
      </w:r>
      <w:r>
        <w:rPr>
          <w:rFonts w:ascii="Times New Roman" w:eastAsia="宋体" w:hAnsi="Times New Roman" w:cs="Times New Roman"/>
          <w:sz w:val="18"/>
          <w:szCs w:val="18"/>
        </w:rPr>
        <w:t>”</w:t>
      </w:r>
      <w:r>
        <w:rPr>
          <w:rFonts w:ascii="Times New Roman" w:eastAsia="宋体" w:hAnsi="Times New Roman" w:cs="Times New Roman"/>
          <w:sz w:val="18"/>
          <w:szCs w:val="18"/>
        </w:rPr>
        <w:t>。本公司本年度合并范围比上年度增加</w:t>
      </w:r>
      <w:r>
        <w:rPr>
          <w:rFonts w:ascii="Times New Roman" w:eastAsia="宋体" w:hAnsi="Times New Roman" w:cs="Times New Roman"/>
          <w:sz w:val="18"/>
          <w:szCs w:val="18"/>
        </w:rPr>
        <w:t>2</w:t>
      </w:r>
      <w:r>
        <w:rPr>
          <w:rFonts w:ascii="Times New Roman" w:eastAsia="宋体" w:hAnsi="Times New Roman" w:cs="Times New Roman"/>
          <w:sz w:val="18"/>
          <w:szCs w:val="18"/>
        </w:rPr>
        <w:t>户，减少</w:t>
      </w:r>
      <w:r>
        <w:rPr>
          <w:rFonts w:ascii="Times New Roman" w:eastAsia="宋体" w:hAnsi="Times New Roman" w:cs="Times New Roman"/>
          <w:sz w:val="18"/>
          <w:szCs w:val="18"/>
        </w:rPr>
        <w:t>3</w:t>
      </w:r>
      <w:r>
        <w:rPr>
          <w:rFonts w:ascii="Times New Roman" w:eastAsia="宋体" w:hAnsi="Times New Roman" w:cs="Times New Roman"/>
          <w:sz w:val="18"/>
          <w:szCs w:val="18"/>
        </w:rPr>
        <w:t>户，详见本附注九</w:t>
      </w:r>
      <w:r>
        <w:rPr>
          <w:rFonts w:ascii="Times New Roman" w:eastAsia="宋体" w:hAnsi="Times New Roman" w:cs="Times New Roman"/>
          <w:sz w:val="18"/>
          <w:szCs w:val="18"/>
        </w:rPr>
        <w:t>“</w:t>
      </w:r>
      <w:r>
        <w:rPr>
          <w:rFonts w:ascii="Times New Roman" w:eastAsia="宋体" w:hAnsi="Times New Roman" w:cs="Times New Roman"/>
          <w:sz w:val="18"/>
          <w:szCs w:val="18"/>
        </w:rPr>
        <w:t>合并范围的</w:t>
      </w:r>
      <w:r>
        <w:rPr>
          <w:rFonts w:ascii="Times New Roman" w:eastAsia="宋体" w:hAnsi="Times New Roman" w:cs="Times New Roman" w:hint="eastAsia"/>
          <w:sz w:val="18"/>
          <w:szCs w:val="18"/>
        </w:rPr>
        <w:t>变更</w:t>
      </w:r>
      <w:r>
        <w:rPr>
          <w:rFonts w:ascii="Times New Roman" w:eastAsia="宋体" w:hAnsi="Times New Roman" w:cs="Times New Roman"/>
          <w:sz w:val="18"/>
          <w:szCs w:val="18"/>
        </w:rPr>
        <w:t>”</w:t>
      </w:r>
    </w:p>
    <w:p w:rsidR="00403CD6" w:rsidRDefault="00E91A59">
      <w:pPr>
        <w:pStyle w:val="2"/>
        <w:spacing w:before="300" w:after="300" w:line="320" w:lineRule="exact"/>
        <w:rPr>
          <w:rFonts w:ascii="Times New Roman" w:hAnsi="Times New Roman" w:cs="Times New Roman"/>
          <w:b/>
          <w:bCs/>
          <w:sz w:val="24"/>
          <w:szCs w:val="24"/>
        </w:rPr>
      </w:pPr>
      <w:r>
        <w:rPr>
          <w:rFonts w:ascii="Times New Roman" w:hAnsi="Times New Roman" w:cs="Times New Roman"/>
          <w:b/>
          <w:bCs/>
          <w:sz w:val="24"/>
          <w:szCs w:val="24"/>
        </w:rPr>
        <w:t>四、财务报表的编制基础</w:t>
      </w:r>
      <w:bookmarkEnd w:id="15"/>
    </w:p>
    <w:p w:rsidR="00403CD6" w:rsidRDefault="00E91A59">
      <w:pPr>
        <w:pStyle w:val="30"/>
        <w:spacing w:line="280" w:lineRule="exact"/>
        <w:jc w:val="left"/>
        <w:rPr>
          <w:rFonts w:ascii="Times New Roman" w:eastAsiaTheme="minorEastAsia" w:hAnsi="Times New Roman" w:cs="Times New Roman"/>
          <w:sz w:val="21"/>
        </w:rPr>
      </w:pPr>
      <w:bookmarkStart w:id="16" w:name="_Toc989067"/>
      <w:r>
        <w:rPr>
          <w:rFonts w:ascii="Times New Roman" w:eastAsiaTheme="minorEastAsia" w:hAnsi="Times New Roman" w:cs="Times New Roman"/>
          <w:sz w:val="21"/>
        </w:rPr>
        <w:t>1</w:t>
      </w:r>
      <w:r>
        <w:rPr>
          <w:rFonts w:ascii="Times New Roman" w:eastAsiaTheme="minorEastAsia" w:hAnsi="Times New Roman" w:cs="Times New Roman"/>
          <w:sz w:val="21"/>
        </w:rPr>
        <w:t>、编制基础</w:t>
      </w:r>
      <w:bookmarkEnd w:id="16"/>
    </w:p>
    <w:p w:rsidR="00403CD6" w:rsidRDefault="00E91A59">
      <w:pPr>
        <w:ind w:firstLineChars="200" w:firstLine="360"/>
        <w:rPr>
          <w:rFonts w:ascii="Times New Roman" w:eastAsia="宋体" w:hAnsi="Times New Roman" w:cs="Times New Roman"/>
          <w:snapToGrid w:val="0"/>
          <w:sz w:val="18"/>
          <w:szCs w:val="18"/>
        </w:rPr>
      </w:pPr>
      <w:bookmarkStart w:id="17" w:name="_Toc989068"/>
      <w:r>
        <w:rPr>
          <w:rFonts w:ascii="Times New Roman" w:eastAsia="宋体" w:hAnsi="Times New Roman" w:cs="Times New Roman"/>
          <w:snapToGrid w:val="0"/>
          <w:sz w:val="18"/>
          <w:szCs w:val="18"/>
        </w:rPr>
        <w:t>本财务报表按照财政部发布的企业会计准则及其应用指南、解释及其他有关规定（统称：</w:t>
      </w:r>
      <w:r>
        <w:rPr>
          <w:rFonts w:ascii="Times New Roman" w:eastAsia="宋体" w:hAnsi="Times New Roman" w:cs="Times New Roman"/>
          <w:snapToGrid w:val="0"/>
          <w:sz w:val="18"/>
          <w:szCs w:val="18"/>
        </w:rPr>
        <w:t>“</w:t>
      </w:r>
      <w:r>
        <w:rPr>
          <w:rFonts w:ascii="Times New Roman" w:eastAsia="宋体" w:hAnsi="Times New Roman" w:cs="Times New Roman"/>
          <w:snapToGrid w:val="0"/>
          <w:sz w:val="18"/>
          <w:szCs w:val="18"/>
        </w:rPr>
        <w:t>企业会计准则</w:t>
      </w:r>
      <w:r>
        <w:rPr>
          <w:rFonts w:ascii="Times New Roman" w:eastAsia="宋体" w:hAnsi="Times New Roman" w:cs="Times New Roman"/>
          <w:snapToGrid w:val="0"/>
          <w:sz w:val="18"/>
          <w:szCs w:val="18"/>
        </w:rPr>
        <w:t>”</w:t>
      </w:r>
      <w:r>
        <w:rPr>
          <w:rFonts w:ascii="Times New Roman" w:eastAsia="宋体" w:hAnsi="Times New Roman" w:cs="Times New Roman"/>
          <w:snapToGrid w:val="0"/>
          <w:sz w:val="18"/>
          <w:szCs w:val="18"/>
        </w:rPr>
        <w:t>）编制。此外，本公司还按照中国证监会《公开发行证券的公司信息披露编报规则第</w:t>
      </w:r>
      <w:r>
        <w:rPr>
          <w:rFonts w:ascii="Times New Roman" w:eastAsia="宋体" w:hAnsi="Times New Roman" w:cs="Times New Roman"/>
          <w:snapToGrid w:val="0"/>
          <w:sz w:val="18"/>
          <w:szCs w:val="18"/>
        </w:rPr>
        <w:t>15</w:t>
      </w:r>
      <w:r>
        <w:rPr>
          <w:rFonts w:ascii="Times New Roman" w:eastAsia="宋体" w:hAnsi="Times New Roman" w:cs="Times New Roman"/>
          <w:snapToGrid w:val="0"/>
          <w:sz w:val="18"/>
          <w:szCs w:val="18"/>
        </w:rPr>
        <w:t>号</w:t>
      </w:r>
      <w:r>
        <w:rPr>
          <w:rFonts w:ascii="Times New Roman" w:eastAsia="宋体" w:hAnsi="Times New Roman" w:cs="Times New Roman"/>
          <w:snapToGrid w:val="0"/>
          <w:sz w:val="18"/>
          <w:szCs w:val="18"/>
        </w:rPr>
        <w:t>——</w:t>
      </w:r>
      <w:r>
        <w:rPr>
          <w:rFonts w:ascii="Times New Roman" w:eastAsia="宋体" w:hAnsi="Times New Roman" w:cs="Times New Roman"/>
          <w:snapToGrid w:val="0"/>
          <w:sz w:val="18"/>
          <w:szCs w:val="18"/>
        </w:rPr>
        <w:t>财务报告的一般规定（</w:t>
      </w:r>
      <w:r>
        <w:rPr>
          <w:rFonts w:ascii="Times New Roman" w:eastAsia="宋体" w:hAnsi="Times New Roman" w:cs="Times New Roman"/>
          <w:snapToGrid w:val="0"/>
          <w:sz w:val="18"/>
          <w:szCs w:val="18"/>
        </w:rPr>
        <w:t>2023</w:t>
      </w:r>
      <w:r>
        <w:rPr>
          <w:rFonts w:ascii="Times New Roman" w:eastAsia="宋体" w:hAnsi="Times New Roman" w:cs="Times New Roman"/>
          <w:snapToGrid w:val="0"/>
          <w:sz w:val="18"/>
          <w:szCs w:val="18"/>
        </w:rPr>
        <w:t>年修订）》披露有关财务信息。</w:t>
      </w:r>
    </w:p>
    <w:p w:rsidR="00403CD6" w:rsidRDefault="00E91A59">
      <w:pPr>
        <w:ind w:firstLineChars="200" w:firstLine="360"/>
        <w:rPr>
          <w:rFonts w:ascii="Times New Roman" w:hAnsi="Times New Roman" w:cs="Times New Roman"/>
          <w:sz w:val="18"/>
          <w:szCs w:val="18"/>
        </w:rPr>
      </w:pPr>
      <w:r>
        <w:rPr>
          <w:rFonts w:ascii="Times New Roman" w:eastAsia="宋体" w:hAnsi="Times New Roman" w:cs="Times New Roman"/>
          <w:snapToGrid w:val="0"/>
          <w:sz w:val="18"/>
          <w:szCs w:val="18"/>
        </w:rPr>
        <w:t>本财务报表以持续经营为基础列报。</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2</w:t>
      </w:r>
      <w:r>
        <w:rPr>
          <w:rFonts w:ascii="Times New Roman" w:eastAsiaTheme="minorEastAsia" w:hAnsi="Times New Roman" w:cs="Times New Roman"/>
          <w:sz w:val="21"/>
        </w:rPr>
        <w:t>、持续经营</w:t>
      </w:r>
      <w:bookmarkEnd w:id="17"/>
    </w:p>
    <w:p w:rsidR="00403CD6" w:rsidRDefault="00E91A59">
      <w:pPr>
        <w:ind w:firstLineChars="200" w:firstLine="360"/>
        <w:rPr>
          <w:rFonts w:ascii="Times New Roman" w:hAnsi="Times New Roman" w:cs="Times New Roman"/>
          <w:sz w:val="18"/>
          <w:szCs w:val="18"/>
        </w:rPr>
      </w:pPr>
      <w:bookmarkStart w:id="18" w:name="OLE_LINK28"/>
      <w:bookmarkStart w:id="19" w:name="_Toc989069"/>
      <w:r>
        <w:rPr>
          <w:rFonts w:ascii="Times New Roman" w:hAnsi="Times New Roman" w:cs="Times New Roman" w:hint="eastAsia"/>
          <w:sz w:val="18"/>
          <w:szCs w:val="18"/>
        </w:rPr>
        <w:t>本公司</w:t>
      </w:r>
      <w:r>
        <w:rPr>
          <w:rFonts w:ascii="Times New Roman" w:hAnsi="Times New Roman" w:cs="Times New Roman" w:hint="eastAsia"/>
          <w:sz w:val="18"/>
          <w:szCs w:val="18"/>
        </w:rPr>
        <w:t>2022</w:t>
      </w:r>
      <w:r>
        <w:rPr>
          <w:rFonts w:ascii="Times New Roman" w:hAnsi="Times New Roman" w:cs="Times New Roman" w:hint="eastAsia"/>
          <w:sz w:val="18"/>
          <w:szCs w:val="18"/>
        </w:rPr>
        <w:t>年度、</w:t>
      </w:r>
      <w:r>
        <w:rPr>
          <w:rFonts w:ascii="Times New Roman" w:hAnsi="Times New Roman" w:cs="Times New Roman" w:hint="eastAsia"/>
          <w:sz w:val="18"/>
          <w:szCs w:val="18"/>
        </w:rPr>
        <w:t>2023</w:t>
      </w:r>
      <w:r>
        <w:rPr>
          <w:rFonts w:ascii="Times New Roman" w:hAnsi="Times New Roman" w:cs="Times New Roman" w:hint="eastAsia"/>
          <w:sz w:val="18"/>
          <w:szCs w:val="18"/>
        </w:rPr>
        <w:t>年度及</w:t>
      </w:r>
      <w:r>
        <w:rPr>
          <w:rFonts w:ascii="Times New Roman" w:hAnsi="Times New Roman" w:cs="Times New Roman" w:hint="eastAsia"/>
          <w:sz w:val="18"/>
          <w:szCs w:val="18"/>
        </w:rPr>
        <w:t>2024</w:t>
      </w:r>
      <w:r>
        <w:rPr>
          <w:rFonts w:ascii="Times New Roman" w:hAnsi="Times New Roman" w:cs="Times New Roman" w:hint="eastAsia"/>
          <w:sz w:val="18"/>
          <w:szCs w:val="18"/>
        </w:rPr>
        <w:t>年度扣除非经常性损益后归属于母公司股东的净利润连续三年为负数，扣除非经常性损益后归属于母公司股东的净利润分别为</w:t>
      </w:r>
      <w:r>
        <w:rPr>
          <w:rFonts w:ascii="Times New Roman" w:hAnsi="Times New Roman" w:cs="Times New Roman" w:hint="eastAsia"/>
          <w:sz w:val="18"/>
          <w:szCs w:val="18"/>
        </w:rPr>
        <w:t>-3.61</w:t>
      </w:r>
      <w:r>
        <w:rPr>
          <w:rFonts w:ascii="Times New Roman" w:hAnsi="Times New Roman" w:cs="Times New Roman" w:hint="eastAsia"/>
          <w:sz w:val="18"/>
          <w:szCs w:val="18"/>
        </w:rPr>
        <w:t>亿元</w:t>
      </w:r>
      <w:r>
        <w:rPr>
          <w:rFonts w:ascii="Times New Roman" w:hAnsi="Times New Roman" w:cs="Times New Roman" w:hint="eastAsia"/>
          <w:sz w:val="18"/>
          <w:szCs w:val="18"/>
        </w:rPr>
        <w:t>,-19.42</w:t>
      </w:r>
      <w:r>
        <w:rPr>
          <w:rFonts w:ascii="Times New Roman" w:hAnsi="Times New Roman" w:cs="Times New Roman" w:hint="eastAsia"/>
          <w:sz w:val="18"/>
          <w:szCs w:val="18"/>
        </w:rPr>
        <w:t>亿元和</w:t>
      </w:r>
      <w:r>
        <w:rPr>
          <w:rFonts w:ascii="Times New Roman" w:hAnsi="Times New Roman" w:cs="Times New Roman" w:hint="eastAsia"/>
          <w:sz w:val="18"/>
          <w:szCs w:val="18"/>
        </w:rPr>
        <w:t>-72.</w:t>
      </w:r>
      <w:r w:rsidR="00012CDC">
        <w:rPr>
          <w:rFonts w:ascii="Times New Roman" w:hAnsi="Times New Roman" w:cs="Times New Roman" w:hint="eastAsia"/>
          <w:sz w:val="18"/>
          <w:szCs w:val="18"/>
        </w:rPr>
        <w:t>02</w:t>
      </w:r>
      <w:r>
        <w:rPr>
          <w:rFonts w:ascii="Times New Roman" w:hAnsi="Times New Roman" w:cs="Times New Roman" w:hint="eastAsia"/>
          <w:sz w:val="18"/>
          <w:szCs w:val="18"/>
        </w:rPr>
        <w:t>亿元。截至</w:t>
      </w:r>
      <w:r>
        <w:rPr>
          <w:rFonts w:ascii="Times New Roman" w:hAnsi="Times New Roman" w:cs="Times New Roman" w:hint="eastAsia"/>
          <w:sz w:val="18"/>
          <w:szCs w:val="18"/>
        </w:rPr>
        <w:t>2024</w:t>
      </w:r>
      <w:r>
        <w:rPr>
          <w:rFonts w:ascii="Times New Roman" w:hAnsi="Times New Roman" w:cs="Times New Roman" w:hint="eastAsia"/>
          <w:sz w:val="18"/>
          <w:szCs w:val="18"/>
        </w:rPr>
        <w:t>年</w:t>
      </w:r>
      <w:r>
        <w:rPr>
          <w:rFonts w:ascii="Times New Roman" w:hAnsi="Times New Roman" w:cs="Times New Roman" w:hint="eastAsia"/>
          <w:sz w:val="18"/>
          <w:szCs w:val="18"/>
        </w:rPr>
        <w:t>12</w:t>
      </w:r>
      <w:r>
        <w:rPr>
          <w:rFonts w:ascii="Times New Roman" w:hAnsi="Times New Roman" w:cs="Times New Roman" w:hint="eastAsia"/>
          <w:sz w:val="18"/>
          <w:szCs w:val="18"/>
        </w:rPr>
        <w:t>月</w:t>
      </w:r>
      <w:r>
        <w:rPr>
          <w:rFonts w:ascii="Times New Roman" w:hAnsi="Times New Roman" w:cs="Times New Roman" w:hint="eastAsia"/>
          <w:sz w:val="18"/>
          <w:szCs w:val="18"/>
        </w:rPr>
        <w:t>31</w:t>
      </w:r>
      <w:r>
        <w:rPr>
          <w:rFonts w:ascii="Times New Roman" w:hAnsi="Times New Roman" w:cs="Times New Roman" w:hint="eastAsia"/>
          <w:sz w:val="18"/>
          <w:szCs w:val="18"/>
        </w:rPr>
        <w:t>日本公司的资产负债率为</w:t>
      </w:r>
      <w:r>
        <w:rPr>
          <w:rFonts w:ascii="Times New Roman" w:hAnsi="Times New Roman" w:cs="Times New Roman" w:hint="eastAsia"/>
          <w:sz w:val="18"/>
          <w:szCs w:val="18"/>
        </w:rPr>
        <w:t>79.</w:t>
      </w:r>
      <w:r w:rsidR="00012CDC">
        <w:rPr>
          <w:rFonts w:ascii="Times New Roman" w:hAnsi="Times New Roman" w:cs="Times New Roman" w:hint="eastAsia"/>
          <w:sz w:val="18"/>
          <w:szCs w:val="18"/>
        </w:rPr>
        <w:t>79</w:t>
      </w:r>
      <w:r>
        <w:rPr>
          <w:rFonts w:ascii="Times New Roman" w:hAnsi="Times New Roman" w:cs="Times New Roman" w:hint="eastAsia"/>
          <w:sz w:val="18"/>
          <w:szCs w:val="18"/>
        </w:rPr>
        <w:t>%</w:t>
      </w:r>
      <w:r>
        <w:rPr>
          <w:rFonts w:ascii="Times New Roman" w:hAnsi="Times New Roman" w:cs="Times New Roman" w:hint="eastAsia"/>
          <w:sz w:val="18"/>
          <w:szCs w:val="18"/>
        </w:rPr>
        <w:t>，流动比率为</w:t>
      </w:r>
      <w:r>
        <w:rPr>
          <w:rFonts w:ascii="Times New Roman" w:hAnsi="Times New Roman" w:cs="Times New Roman" w:hint="eastAsia"/>
          <w:sz w:val="18"/>
          <w:szCs w:val="18"/>
        </w:rPr>
        <w:t>36.2</w:t>
      </w:r>
      <w:r w:rsidR="00012CDC">
        <w:rPr>
          <w:rFonts w:ascii="Times New Roman" w:hAnsi="Times New Roman" w:cs="Times New Roman" w:hint="eastAsia"/>
          <w:sz w:val="18"/>
          <w:szCs w:val="18"/>
        </w:rPr>
        <w:t>5</w:t>
      </w:r>
      <w:r>
        <w:rPr>
          <w:rFonts w:ascii="Times New Roman" w:hAnsi="Times New Roman" w:cs="Times New Roman" w:hint="eastAsia"/>
          <w:sz w:val="18"/>
          <w:szCs w:val="18"/>
        </w:rPr>
        <w:t>%</w:t>
      </w:r>
      <w:r>
        <w:rPr>
          <w:rFonts w:ascii="Times New Roman" w:hAnsi="Times New Roman" w:cs="Times New Roman" w:hint="eastAsia"/>
          <w:sz w:val="18"/>
          <w:szCs w:val="18"/>
        </w:rPr>
        <w:t>，本公司资金流动性困难。截至</w:t>
      </w:r>
      <w:r>
        <w:rPr>
          <w:rFonts w:ascii="Times New Roman" w:hAnsi="Times New Roman" w:cs="Times New Roman" w:hint="eastAsia"/>
          <w:sz w:val="18"/>
          <w:szCs w:val="18"/>
        </w:rPr>
        <w:t>2024</w:t>
      </w:r>
      <w:r>
        <w:rPr>
          <w:rFonts w:ascii="Times New Roman" w:hAnsi="Times New Roman" w:cs="Times New Roman" w:hint="eastAsia"/>
          <w:sz w:val="18"/>
          <w:szCs w:val="18"/>
        </w:rPr>
        <w:t>年</w:t>
      </w:r>
      <w:r>
        <w:rPr>
          <w:rFonts w:ascii="Times New Roman" w:hAnsi="Times New Roman" w:cs="Times New Roman" w:hint="eastAsia"/>
          <w:sz w:val="18"/>
          <w:szCs w:val="18"/>
        </w:rPr>
        <w:t>12</w:t>
      </w:r>
      <w:r>
        <w:rPr>
          <w:rFonts w:ascii="Times New Roman" w:hAnsi="Times New Roman" w:cs="Times New Roman" w:hint="eastAsia"/>
          <w:sz w:val="18"/>
          <w:szCs w:val="18"/>
        </w:rPr>
        <w:t>月</w:t>
      </w:r>
      <w:r>
        <w:rPr>
          <w:rFonts w:ascii="Times New Roman" w:hAnsi="Times New Roman" w:cs="Times New Roman" w:hint="eastAsia"/>
          <w:sz w:val="18"/>
          <w:szCs w:val="18"/>
        </w:rPr>
        <w:t>31</w:t>
      </w:r>
      <w:r>
        <w:rPr>
          <w:rFonts w:ascii="Times New Roman" w:hAnsi="Times New Roman" w:cs="Times New Roman" w:hint="eastAsia"/>
          <w:sz w:val="18"/>
          <w:szCs w:val="18"/>
        </w:rPr>
        <w:t>日，本公司的银行借款、融资租赁借款和承兑汇票因逾期需要偿还的金额</w:t>
      </w:r>
      <w:r>
        <w:rPr>
          <w:rFonts w:ascii="Times New Roman" w:hAnsi="Times New Roman" w:cs="Times New Roman"/>
          <w:sz w:val="18"/>
          <w:szCs w:val="18"/>
        </w:rPr>
        <w:t>459,978.21</w:t>
      </w:r>
      <w:r>
        <w:rPr>
          <w:rFonts w:ascii="Times New Roman" w:hAnsi="Times New Roman" w:cs="Times New Roman" w:hint="eastAsia"/>
          <w:sz w:val="18"/>
          <w:szCs w:val="18"/>
        </w:rPr>
        <w:t xml:space="preserve"> </w:t>
      </w:r>
      <w:r>
        <w:rPr>
          <w:rFonts w:ascii="Times New Roman" w:hAnsi="Times New Roman" w:cs="Times New Roman" w:hint="eastAsia"/>
          <w:sz w:val="18"/>
          <w:szCs w:val="18"/>
        </w:rPr>
        <w:t>万元，受限货币资金金额</w:t>
      </w:r>
      <w:r>
        <w:rPr>
          <w:rFonts w:ascii="Times New Roman" w:hAnsi="Times New Roman" w:cs="Times New Roman"/>
          <w:sz w:val="18"/>
          <w:szCs w:val="18"/>
        </w:rPr>
        <w:t>572,874.</w:t>
      </w:r>
      <w:r>
        <w:rPr>
          <w:rFonts w:ascii="Times New Roman" w:hAnsi="Times New Roman" w:cs="Times New Roman" w:hint="eastAsia"/>
          <w:sz w:val="18"/>
          <w:szCs w:val="18"/>
        </w:rPr>
        <w:t>78</w:t>
      </w:r>
      <w:r>
        <w:rPr>
          <w:rFonts w:ascii="Times New Roman" w:hAnsi="Times New Roman" w:cs="Times New Roman" w:hint="eastAsia"/>
          <w:sz w:val="18"/>
          <w:szCs w:val="18"/>
        </w:rPr>
        <w:t>万元，部分经营性应付款项亦存在逾期</w:t>
      </w:r>
      <w:proofErr w:type="gramStart"/>
      <w:r>
        <w:rPr>
          <w:rFonts w:ascii="Times New Roman" w:hAnsi="Times New Roman" w:cs="Times New Roman" w:hint="eastAsia"/>
          <w:sz w:val="18"/>
          <w:szCs w:val="18"/>
        </w:rPr>
        <w:t>未偿</w:t>
      </w:r>
      <w:proofErr w:type="gramEnd"/>
      <w:r>
        <w:rPr>
          <w:rFonts w:ascii="Times New Roman" w:hAnsi="Times New Roman" w:cs="Times New Roman" w:hint="eastAsia"/>
          <w:sz w:val="18"/>
          <w:szCs w:val="18"/>
        </w:rPr>
        <w:t>还情况。因债务逾期引发多起诉讼及仲裁案件，本公司部分资产受到查封或冻结，且部分生产线停工停产，本公司面临较大的经营风险和财务风险。上述事项或情况均表明可能存在对公司持续经营能力产生重大疑虑的重大不确定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鉴于上述情况，本公司董事会已审慎考虑公司日后的流动资金、经营状况及融资来源，进行充分详尽的评估，公司将采取以下措施改善公司持续经营能力及经营状况，争取下个财政年度解决保留意见的问题，包括：</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sz w:val="18"/>
          <w:szCs w:val="18"/>
        </w:rPr>
        <w:t>1</w:t>
      </w:r>
      <w:r>
        <w:rPr>
          <w:rFonts w:ascii="Times New Roman" w:hAnsi="Times New Roman" w:cs="Times New Roman" w:hint="eastAsia"/>
          <w:sz w:val="18"/>
          <w:szCs w:val="18"/>
        </w:rPr>
        <w:t>）复工复产。政府专班会同公司，从全面复工复产、</w:t>
      </w:r>
      <w:proofErr w:type="gramStart"/>
      <w:r>
        <w:rPr>
          <w:rFonts w:ascii="Times New Roman" w:hAnsi="Times New Roman" w:cs="Times New Roman" w:hint="eastAsia"/>
          <w:sz w:val="18"/>
          <w:szCs w:val="18"/>
        </w:rPr>
        <w:t>战投引进</w:t>
      </w:r>
      <w:proofErr w:type="gramEnd"/>
      <w:r>
        <w:rPr>
          <w:rFonts w:ascii="Times New Roman" w:hAnsi="Times New Roman" w:cs="Times New Roman" w:hint="eastAsia"/>
          <w:sz w:val="18"/>
          <w:szCs w:val="18"/>
        </w:rPr>
        <w:t>、银团贷款投放、资产处置等</w:t>
      </w:r>
      <w:r>
        <w:rPr>
          <w:rFonts w:ascii="Times New Roman" w:hAnsi="Times New Roman" w:cs="Times New Roman"/>
          <w:sz w:val="18"/>
          <w:szCs w:val="18"/>
        </w:rPr>
        <w:t>8</w:t>
      </w:r>
      <w:r>
        <w:rPr>
          <w:rFonts w:ascii="Times New Roman" w:hAnsi="Times New Roman" w:cs="Times New Roman" w:hint="eastAsia"/>
          <w:sz w:val="18"/>
          <w:szCs w:val="18"/>
        </w:rPr>
        <w:t>个方面，统筹制定了一揽子工作方案，坚持“</w:t>
      </w:r>
      <w:proofErr w:type="gramStart"/>
      <w:r>
        <w:rPr>
          <w:rFonts w:ascii="Times New Roman" w:hAnsi="Times New Roman" w:cs="Times New Roman" w:hint="eastAsia"/>
          <w:sz w:val="18"/>
          <w:szCs w:val="18"/>
        </w:rPr>
        <w:t>一</w:t>
      </w:r>
      <w:proofErr w:type="gramEnd"/>
      <w:r>
        <w:rPr>
          <w:rFonts w:ascii="Times New Roman" w:hAnsi="Times New Roman" w:cs="Times New Roman" w:hint="eastAsia"/>
          <w:sz w:val="18"/>
          <w:szCs w:val="18"/>
        </w:rPr>
        <w:t>企</w:t>
      </w:r>
      <w:proofErr w:type="gramStart"/>
      <w:r>
        <w:rPr>
          <w:rFonts w:ascii="Times New Roman" w:hAnsi="Times New Roman" w:cs="Times New Roman" w:hint="eastAsia"/>
          <w:sz w:val="18"/>
          <w:szCs w:val="18"/>
        </w:rPr>
        <w:t>一</w:t>
      </w:r>
      <w:proofErr w:type="gramEnd"/>
      <w:r>
        <w:rPr>
          <w:rFonts w:ascii="Times New Roman" w:hAnsi="Times New Roman" w:cs="Times New Roman" w:hint="eastAsia"/>
          <w:sz w:val="18"/>
          <w:szCs w:val="18"/>
        </w:rPr>
        <w:t>策、一地</w:t>
      </w:r>
      <w:proofErr w:type="gramStart"/>
      <w:r>
        <w:rPr>
          <w:rFonts w:ascii="Times New Roman" w:hAnsi="Times New Roman" w:cs="Times New Roman" w:hint="eastAsia"/>
          <w:sz w:val="18"/>
          <w:szCs w:val="18"/>
        </w:rPr>
        <w:t>一</w:t>
      </w:r>
      <w:proofErr w:type="gramEnd"/>
      <w:r>
        <w:rPr>
          <w:rFonts w:ascii="Times New Roman" w:hAnsi="Times New Roman" w:cs="Times New Roman" w:hint="eastAsia"/>
          <w:sz w:val="18"/>
          <w:szCs w:val="18"/>
        </w:rPr>
        <w:t>策”，积极与当地政府对接敲定具体合作细节，推动主要生产基地全面复工复产。按照制定的各基地恢复生产计划，组织对各生产系统进行全面检修，完善自动化检测控制功能，提高设备完好率和运行效率。加强与供应商的沟通对接，稳定与供应商的长期合作关系，争取以最短时间实现复工复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sz w:val="18"/>
          <w:szCs w:val="18"/>
        </w:rPr>
        <w:t>2</w:t>
      </w:r>
      <w:r>
        <w:rPr>
          <w:rFonts w:ascii="Times New Roman" w:hAnsi="Times New Roman" w:cs="Times New Roman" w:hint="eastAsia"/>
          <w:sz w:val="18"/>
          <w:szCs w:val="18"/>
        </w:rPr>
        <w:t>）债务重组。截至</w:t>
      </w:r>
      <w:r>
        <w:rPr>
          <w:rFonts w:ascii="Times New Roman" w:hAnsi="Times New Roman" w:cs="Times New Roman"/>
          <w:sz w:val="18"/>
          <w:szCs w:val="18"/>
        </w:rPr>
        <w:t>2024</w:t>
      </w:r>
      <w:r>
        <w:rPr>
          <w:rFonts w:ascii="Times New Roman" w:hAnsi="Times New Roman" w:cs="Times New Roman" w:hint="eastAsia"/>
          <w:sz w:val="18"/>
          <w:szCs w:val="18"/>
        </w:rPr>
        <w:t>年</w:t>
      </w:r>
      <w:r>
        <w:rPr>
          <w:rFonts w:ascii="Times New Roman" w:hAnsi="Times New Roman" w:cs="Times New Roman"/>
          <w:sz w:val="18"/>
          <w:szCs w:val="18"/>
        </w:rPr>
        <w:t>12</w:t>
      </w:r>
      <w:r>
        <w:rPr>
          <w:rFonts w:ascii="Times New Roman" w:hAnsi="Times New Roman" w:cs="Times New Roman" w:hint="eastAsia"/>
          <w:sz w:val="18"/>
          <w:szCs w:val="18"/>
        </w:rPr>
        <w:t>月</w:t>
      </w:r>
      <w:r>
        <w:rPr>
          <w:rFonts w:ascii="Times New Roman" w:hAnsi="Times New Roman" w:cs="Times New Roman"/>
          <w:sz w:val="18"/>
          <w:szCs w:val="18"/>
        </w:rPr>
        <w:t>31</w:t>
      </w:r>
      <w:r>
        <w:rPr>
          <w:rFonts w:ascii="Times New Roman" w:hAnsi="Times New Roman" w:cs="Times New Roman" w:hint="eastAsia"/>
          <w:sz w:val="18"/>
          <w:szCs w:val="18"/>
        </w:rPr>
        <w:t>日，公司已与金融债权人成立了省级金融机构债权人委员会，并达成一致意见：一是</w:t>
      </w:r>
      <w:proofErr w:type="gramStart"/>
      <w:r>
        <w:rPr>
          <w:rFonts w:ascii="Times New Roman" w:hAnsi="Times New Roman" w:cs="Times New Roman" w:hint="eastAsia"/>
          <w:sz w:val="18"/>
          <w:szCs w:val="18"/>
        </w:rPr>
        <w:t>不</w:t>
      </w:r>
      <w:proofErr w:type="gramEnd"/>
      <w:r>
        <w:rPr>
          <w:rFonts w:ascii="Times New Roman" w:hAnsi="Times New Roman" w:cs="Times New Roman" w:hint="eastAsia"/>
          <w:sz w:val="18"/>
          <w:szCs w:val="18"/>
        </w:rPr>
        <w:t>擅自提起诉讼查封，对于逾期贷款先行协商解决，不起诉查封</w:t>
      </w:r>
      <w:proofErr w:type="gramStart"/>
      <w:r>
        <w:rPr>
          <w:rFonts w:ascii="Times New Roman" w:hAnsi="Times New Roman" w:cs="Times New Roman" w:hint="eastAsia"/>
          <w:sz w:val="18"/>
          <w:szCs w:val="18"/>
        </w:rPr>
        <w:t>不</w:t>
      </w:r>
      <w:proofErr w:type="gramEnd"/>
      <w:r>
        <w:rPr>
          <w:rFonts w:ascii="Times New Roman" w:hAnsi="Times New Roman" w:cs="Times New Roman" w:hint="eastAsia"/>
          <w:sz w:val="18"/>
          <w:szCs w:val="18"/>
        </w:rPr>
        <w:t>下调信用评级、分类；二是维持存量授信稳定，省内外金融机构将授</w:t>
      </w:r>
      <w:proofErr w:type="gramStart"/>
      <w:r>
        <w:rPr>
          <w:rFonts w:ascii="Times New Roman" w:hAnsi="Times New Roman" w:cs="Times New Roman" w:hint="eastAsia"/>
          <w:sz w:val="18"/>
          <w:szCs w:val="18"/>
        </w:rPr>
        <w:t>信品种</w:t>
      </w:r>
      <w:proofErr w:type="gramEnd"/>
      <w:r>
        <w:rPr>
          <w:rFonts w:ascii="Times New Roman" w:hAnsi="Times New Roman" w:cs="Times New Roman" w:hint="eastAsia"/>
          <w:sz w:val="18"/>
          <w:szCs w:val="18"/>
        </w:rPr>
        <w:t>调整为流贷，对到期业务应</w:t>
      </w:r>
      <w:proofErr w:type="gramStart"/>
      <w:r>
        <w:rPr>
          <w:rFonts w:ascii="Times New Roman" w:hAnsi="Times New Roman" w:cs="Times New Roman" w:hint="eastAsia"/>
          <w:sz w:val="18"/>
          <w:szCs w:val="18"/>
        </w:rPr>
        <w:t>续尽续</w:t>
      </w:r>
      <w:proofErr w:type="gramEnd"/>
      <w:r>
        <w:rPr>
          <w:rFonts w:ascii="Times New Roman" w:hAnsi="Times New Roman" w:cs="Times New Roman" w:hint="eastAsia"/>
          <w:sz w:val="18"/>
          <w:szCs w:val="18"/>
        </w:rPr>
        <w:t>，不抽贷、不压贷，无法续贷的给予展期，中长期贷款调整还款计划；三是降息降费，减轻公司负担，贷款利率降至</w:t>
      </w:r>
      <w:r>
        <w:rPr>
          <w:rFonts w:ascii="Times New Roman" w:hAnsi="Times New Roman" w:cs="Times New Roman"/>
          <w:sz w:val="18"/>
          <w:szCs w:val="18"/>
        </w:rPr>
        <w:t>2%</w:t>
      </w:r>
      <w:r>
        <w:rPr>
          <w:rFonts w:ascii="Times New Roman" w:hAnsi="Times New Roman" w:cs="Times New Roman" w:hint="eastAsia"/>
          <w:sz w:val="18"/>
          <w:szCs w:val="18"/>
        </w:rPr>
        <w:t>以内，新增贷款降到</w:t>
      </w:r>
      <w:r>
        <w:rPr>
          <w:rFonts w:ascii="Times New Roman" w:hAnsi="Times New Roman" w:cs="Times New Roman"/>
          <w:sz w:val="18"/>
          <w:szCs w:val="18"/>
        </w:rPr>
        <w:t>3%</w:t>
      </w:r>
      <w:r>
        <w:rPr>
          <w:rFonts w:ascii="Times New Roman" w:hAnsi="Times New Roman" w:cs="Times New Roman" w:hint="eastAsia"/>
          <w:sz w:val="18"/>
          <w:szCs w:val="18"/>
        </w:rPr>
        <w:t>以内，三年后根据公司脱困情况重新调整贷款利率；四是延长结息周期，三年内原则上按半年结息，三年后根据公司运营情况调整结息周期。</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sz w:val="18"/>
          <w:szCs w:val="18"/>
        </w:rPr>
        <w:t>3</w:t>
      </w:r>
      <w:r>
        <w:rPr>
          <w:rFonts w:ascii="Times New Roman" w:hAnsi="Times New Roman" w:cs="Times New Roman" w:hint="eastAsia"/>
          <w:sz w:val="18"/>
          <w:szCs w:val="18"/>
        </w:rPr>
        <w:t>）资产处置。公司全力以赴盘活处置现有资产，加大非主业资产的处置力度，组建资产管理中心，调整优化内部管理，分区域划分资产处置管理区，责任到人，提高资产处置效率；加大欠款追缴力度，对有可变现资产的欠款方，通过协商或法律手段追索；对回收难度较大的应收账款，通过司法途径解决，努力增加公司流动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sz w:val="18"/>
          <w:szCs w:val="18"/>
        </w:rPr>
        <w:t>4</w:t>
      </w:r>
      <w:r>
        <w:rPr>
          <w:rFonts w:ascii="Times New Roman" w:hAnsi="Times New Roman" w:cs="Times New Roman" w:hint="eastAsia"/>
          <w:sz w:val="18"/>
          <w:szCs w:val="18"/>
        </w:rPr>
        <w:t>）政府支持。公司已向当地政府申请支持，包括不限于政策扶持、资金援助等，以帮助公司渡过难关。目前，政</w:t>
      </w:r>
      <w:r>
        <w:rPr>
          <w:rFonts w:ascii="Times New Roman" w:hAnsi="Times New Roman" w:cs="Times New Roman" w:hint="eastAsia"/>
          <w:sz w:val="18"/>
          <w:szCs w:val="18"/>
        </w:rPr>
        <w:lastRenderedPageBreak/>
        <w:t>府已成立专门工作小组，帮助公司协调各金融机构成立</w:t>
      </w:r>
      <w:proofErr w:type="gramStart"/>
      <w:r>
        <w:rPr>
          <w:rFonts w:ascii="Times New Roman" w:hAnsi="Times New Roman" w:cs="Times New Roman" w:hint="eastAsia"/>
          <w:sz w:val="18"/>
          <w:szCs w:val="18"/>
        </w:rPr>
        <w:t>省级债委会</w:t>
      </w:r>
      <w:proofErr w:type="gramEnd"/>
      <w:r>
        <w:rPr>
          <w:rFonts w:ascii="Times New Roman" w:hAnsi="Times New Roman" w:cs="Times New Roman" w:hint="eastAsia"/>
          <w:sz w:val="18"/>
          <w:szCs w:val="18"/>
        </w:rPr>
        <w:t>、提供资金帮助公司续贷等工作；市县两级国有企业出资成立潍坊市</w:t>
      </w:r>
      <w:proofErr w:type="gramStart"/>
      <w:r>
        <w:rPr>
          <w:rFonts w:ascii="Times New Roman" w:hAnsi="Times New Roman" w:cs="Times New Roman" w:hint="eastAsia"/>
          <w:sz w:val="18"/>
          <w:szCs w:val="18"/>
        </w:rPr>
        <w:t>兴晨经贸</w:t>
      </w:r>
      <w:proofErr w:type="gramEnd"/>
      <w:r>
        <w:rPr>
          <w:rFonts w:ascii="Times New Roman" w:hAnsi="Times New Roman" w:cs="Times New Roman" w:hint="eastAsia"/>
          <w:sz w:val="18"/>
          <w:szCs w:val="18"/>
        </w:rPr>
        <w:t>有限公司，筹资资金</w:t>
      </w:r>
      <w:r>
        <w:rPr>
          <w:rFonts w:ascii="Times New Roman" w:hAnsi="Times New Roman" w:cs="Times New Roman"/>
          <w:sz w:val="18"/>
          <w:szCs w:val="18"/>
        </w:rPr>
        <w:t>33.1</w:t>
      </w:r>
      <w:r>
        <w:rPr>
          <w:rFonts w:ascii="Times New Roman" w:hAnsi="Times New Roman" w:cs="Times New Roman" w:hint="eastAsia"/>
          <w:sz w:val="18"/>
          <w:szCs w:val="18"/>
        </w:rPr>
        <w:t>亿元用于恢复生产，其中注册资本金</w:t>
      </w:r>
      <w:r>
        <w:rPr>
          <w:rFonts w:ascii="Times New Roman" w:hAnsi="Times New Roman" w:cs="Times New Roman"/>
          <w:sz w:val="18"/>
          <w:szCs w:val="18"/>
        </w:rPr>
        <w:t>10</w:t>
      </w:r>
      <w:r>
        <w:rPr>
          <w:rFonts w:ascii="Times New Roman" w:hAnsi="Times New Roman" w:cs="Times New Roman" w:hint="eastAsia"/>
          <w:sz w:val="18"/>
          <w:szCs w:val="18"/>
        </w:rPr>
        <w:t>亿元已经到位，银团贷款</w:t>
      </w:r>
      <w:r>
        <w:rPr>
          <w:rFonts w:ascii="Times New Roman" w:hAnsi="Times New Roman" w:cs="Times New Roman"/>
          <w:sz w:val="18"/>
          <w:szCs w:val="18"/>
        </w:rPr>
        <w:t>23.1</w:t>
      </w:r>
      <w:r>
        <w:rPr>
          <w:rFonts w:ascii="Times New Roman" w:hAnsi="Times New Roman" w:cs="Times New Roman" w:hint="eastAsia"/>
          <w:sz w:val="18"/>
          <w:szCs w:val="18"/>
        </w:rPr>
        <w:t>亿元正在各银行总行审批中，目前</w:t>
      </w:r>
      <w:r w:rsidR="00553285">
        <w:rPr>
          <w:rFonts w:ascii="Times New Roman" w:hAnsi="Times New Roman" w:cs="Times New Roman" w:hint="eastAsia"/>
          <w:sz w:val="18"/>
          <w:szCs w:val="18"/>
        </w:rPr>
        <w:t>部分银行</w:t>
      </w:r>
      <w:r>
        <w:rPr>
          <w:rFonts w:ascii="Times New Roman" w:hAnsi="Times New Roman" w:cs="Times New Roman" w:hint="eastAsia"/>
          <w:sz w:val="18"/>
          <w:szCs w:val="18"/>
        </w:rPr>
        <w:t>已完成审批。</w:t>
      </w:r>
    </w:p>
    <w:p w:rsidR="0068312E"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5</w:t>
      </w:r>
      <w:r>
        <w:rPr>
          <w:rFonts w:ascii="Times New Roman" w:hAnsi="Times New Roman" w:cs="Times New Roman" w:hint="eastAsia"/>
          <w:sz w:val="18"/>
          <w:szCs w:val="18"/>
        </w:rPr>
        <w:t>）</w:t>
      </w:r>
      <w:proofErr w:type="gramStart"/>
      <w:r>
        <w:rPr>
          <w:rFonts w:ascii="Times New Roman" w:hAnsi="Times New Roman" w:cs="Times New Roman" w:hint="eastAsia"/>
          <w:sz w:val="18"/>
          <w:szCs w:val="18"/>
        </w:rPr>
        <w:t>引入战投</w:t>
      </w:r>
      <w:proofErr w:type="gramEnd"/>
      <w:r>
        <w:rPr>
          <w:rFonts w:ascii="Times New Roman" w:hAnsi="Times New Roman" w:cs="Times New Roman" w:hint="eastAsia"/>
          <w:sz w:val="18"/>
          <w:szCs w:val="18"/>
        </w:rPr>
        <w:t>。已成立市级</w:t>
      </w:r>
      <w:proofErr w:type="gramStart"/>
      <w:r>
        <w:rPr>
          <w:rFonts w:ascii="Times New Roman" w:hAnsi="Times New Roman" w:cs="Times New Roman" w:hint="eastAsia"/>
          <w:sz w:val="18"/>
          <w:szCs w:val="18"/>
        </w:rPr>
        <w:t>战投引进</w:t>
      </w:r>
      <w:proofErr w:type="gramEnd"/>
      <w:r>
        <w:rPr>
          <w:rFonts w:ascii="Times New Roman" w:hAnsi="Times New Roman" w:cs="Times New Roman" w:hint="eastAsia"/>
          <w:sz w:val="18"/>
          <w:szCs w:val="18"/>
        </w:rPr>
        <w:t>工作专班，形成多层次、多领域的协同工作机制，专人负责与有意向的</w:t>
      </w:r>
      <w:proofErr w:type="gramStart"/>
      <w:r>
        <w:rPr>
          <w:rFonts w:ascii="Times New Roman" w:hAnsi="Times New Roman" w:cs="Times New Roman" w:hint="eastAsia"/>
          <w:sz w:val="18"/>
          <w:szCs w:val="18"/>
        </w:rPr>
        <w:t>战投方</w:t>
      </w:r>
      <w:proofErr w:type="gramEnd"/>
      <w:r>
        <w:rPr>
          <w:rFonts w:ascii="Times New Roman" w:hAnsi="Times New Roman" w:cs="Times New Roman" w:hint="eastAsia"/>
          <w:sz w:val="18"/>
          <w:szCs w:val="18"/>
        </w:rPr>
        <w:t>进行对接洽谈，有效整合资源，提升决策效率。同时，坚持“走出去”与“请进来”相结合，主动对接有实力的企业进行合作，多渠道筹措恢复生产所需运营资金，助力公司尽快实现正常生产经营。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通过以上措施，本公司认为以持续经营为基础编制本报告期的财务报表是</w:t>
      </w:r>
      <w:r w:rsidR="0068312E">
        <w:rPr>
          <w:rFonts w:ascii="Times New Roman" w:hAnsi="Times New Roman" w:cs="Times New Roman" w:hint="eastAsia"/>
          <w:sz w:val="18"/>
          <w:szCs w:val="18"/>
        </w:rPr>
        <w:t>适当</w:t>
      </w:r>
      <w:r>
        <w:rPr>
          <w:rFonts w:ascii="Times New Roman" w:hAnsi="Times New Roman" w:cs="Times New Roman" w:hint="eastAsia"/>
          <w:sz w:val="18"/>
          <w:szCs w:val="18"/>
        </w:rPr>
        <w:t>的。</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本公司会计核算以权责发生制为基础。除某些金融工具外，本财务报表均以历史成本为计量基础。资产如果发生减值，则按照相关规定计提相应的减值准备。</w:t>
      </w:r>
    </w:p>
    <w:bookmarkEnd w:id="18"/>
    <w:p w:rsidR="00403CD6" w:rsidRDefault="00E91A59">
      <w:pPr>
        <w:pStyle w:val="2"/>
        <w:spacing w:before="300" w:after="300" w:line="560" w:lineRule="exact"/>
        <w:rPr>
          <w:rFonts w:ascii="Times New Roman" w:hAnsi="Times New Roman" w:cs="Times New Roman"/>
          <w:b/>
          <w:bCs/>
          <w:sz w:val="24"/>
          <w:szCs w:val="24"/>
        </w:rPr>
      </w:pPr>
      <w:r>
        <w:rPr>
          <w:rFonts w:ascii="Times New Roman" w:hAnsi="Times New Roman" w:cs="Times New Roman"/>
          <w:b/>
          <w:bCs/>
          <w:sz w:val="24"/>
          <w:szCs w:val="24"/>
        </w:rPr>
        <w:t>五、重要会计政策及会计估计</w:t>
      </w:r>
      <w:bookmarkEnd w:id="19"/>
    </w:p>
    <w:p w:rsidR="00403CD6" w:rsidRDefault="00E91A59">
      <w:pPr>
        <w:rPr>
          <w:rFonts w:ascii="Times New Roman" w:hAnsi="Times New Roman" w:cs="Times New Roman"/>
          <w:sz w:val="18"/>
          <w:szCs w:val="18"/>
        </w:rPr>
      </w:pPr>
      <w:bookmarkStart w:id="20" w:name="_Toc989070"/>
      <w:r>
        <w:rPr>
          <w:rFonts w:ascii="Times New Roman" w:hAnsi="Times New Roman" w:cs="Times New Roman"/>
          <w:sz w:val="18"/>
          <w:szCs w:val="18"/>
        </w:rPr>
        <w:t>具体会计政策和会计估计提示：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及各子公司从事机制纸、电力及热力、建筑材料、造纸化工用品、酒店管理等经营。本公司及各子公司根据实际生产经营特点，依据相关企业会计准则的规定，对收入确认、履约进度确定、研究开发支出等交易和事项制定了若干项具体会计政策和会计估计，详见本附注五、</w:t>
      </w:r>
      <w:r>
        <w:rPr>
          <w:rFonts w:ascii="Times New Roman" w:hAnsi="Times New Roman" w:cs="Times New Roman"/>
          <w:sz w:val="18"/>
          <w:szCs w:val="18"/>
        </w:rPr>
        <w:t>30“</w:t>
      </w:r>
      <w:r>
        <w:rPr>
          <w:rFonts w:ascii="Times New Roman" w:hAnsi="Times New Roman" w:cs="Times New Roman"/>
          <w:sz w:val="18"/>
          <w:szCs w:val="18"/>
        </w:rPr>
        <w:t>收入</w:t>
      </w:r>
      <w:r>
        <w:rPr>
          <w:rFonts w:ascii="Times New Roman" w:hAnsi="Times New Roman" w:cs="Times New Roman"/>
          <w:sz w:val="18"/>
          <w:szCs w:val="18"/>
        </w:rPr>
        <w:t>”</w:t>
      </w:r>
      <w:r>
        <w:rPr>
          <w:rFonts w:ascii="Times New Roman" w:hAnsi="Times New Roman" w:cs="Times New Roman"/>
          <w:sz w:val="18"/>
          <w:szCs w:val="18"/>
        </w:rPr>
        <w:t>各项描述。关于管理层所</w:t>
      </w:r>
      <w:proofErr w:type="gramStart"/>
      <w:r>
        <w:rPr>
          <w:rFonts w:ascii="Times New Roman" w:hAnsi="Times New Roman" w:cs="Times New Roman"/>
          <w:sz w:val="18"/>
          <w:szCs w:val="18"/>
        </w:rPr>
        <w:t>作出</w:t>
      </w:r>
      <w:proofErr w:type="gramEnd"/>
      <w:r>
        <w:rPr>
          <w:rFonts w:ascii="Times New Roman" w:hAnsi="Times New Roman" w:cs="Times New Roman"/>
          <w:sz w:val="18"/>
          <w:szCs w:val="18"/>
        </w:rPr>
        <w:t>的重大会计判断和估计的说明，请参阅附注五、</w:t>
      </w:r>
      <w:r>
        <w:rPr>
          <w:rFonts w:ascii="Times New Roman" w:hAnsi="Times New Roman" w:cs="Times New Roman" w:hint="eastAsia"/>
          <w:sz w:val="18"/>
          <w:szCs w:val="18"/>
        </w:rPr>
        <w:t>39</w:t>
      </w:r>
      <w:r>
        <w:rPr>
          <w:rFonts w:ascii="Times New Roman" w:hAnsi="Times New Roman" w:cs="Times New Roman"/>
          <w:sz w:val="18"/>
          <w:szCs w:val="18"/>
        </w:rPr>
        <w:t>“</w:t>
      </w:r>
      <w:r>
        <w:rPr>
          <w:rFonts w:ascii="Times New Roman" w:hAnsi="Times New Roman" w:cs="Times New Roman" w:hint="eastAsia"/>
          <w:sz w:val="18"/>
          <w:szCs w:val="18"/>
        </w:rPr>
        <w:t>重大会计判断和估计</w:t>
      </w:r>
      <w:r>
        <w:rPr>
          <w:rFonts w:ascii="Times New Roman" w:hAnsi="Times New Roman" w:cs="Times New Roman"/>
          <w:sz w:val="18"/>
          <w:szCs w:val="18"/>
        </w:rPr>
        <w:t>”</w:t>
      </w:r>
      <w:r>
        <w:rPr>
          <w:rFonts w:ascii="Times New Roman" w:hAnsi="Times New Roman" w:cs="Times New Roman"/>
          <w:sz w:val="18"/>
          <w:szCs w:val="18"/>
        </w:rPr>
        <w:t>。</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1</w:t>
      </w:r>
      <w:r>
        <w:rPr>
          <w:rFonts w:ascii="Times New Roman" w:eastAsiaTheme="minorEastAsia" w:hAnsi="Times New Roman" w:cs="Times New Roman"/>
          <w:sz w:val="21"/>
        </w:rPr>
        <w:t>、遵循企业会计准则的声明</w:t>
      </w:r>
      <w:bookmarkEnd w:id="20"/>
    </w:p>
    <w:p w:rsidR="00403CD6" w:rsidRDefault="00E91A59">
      <w:pPr>
        <w:ind w:firstLineChars="200" w:firstLine="360"/>
        <w:rPr>
          <w:rFonts w:ascii="Times New Roman" w:hAnsi="Times New Roman" w:cs="Times New Roman"/>
          <w:sz w:val="18"/>
          <w:szCs w:val="18"/>
        </w:rPr>
      </w:pPr>
      <w:bookmarkStart w:id="21" w:name="_Toc989071"/>
      <w:r>
        <w:rPr>
          <w:rFonts w:ascii="Times New Roman" w:hAnsi="Times New Roman" w:cs="Times New Roman" w:hint="eastAsia"/>
          <w:sz w:val="18"/>
          <w:szCs w:val="18"/>
        </w:rPr>
        <w:t>本财务报表符合企业会计准则的要求，真实、完整地反映了本公司</w:t>
      </w:r>
      <w:r>
        <w:rPr>
          <w:rFonts w:ascii="Times New Roman" w:hAnsi="Times New Roman" w:cs="Times New Roman" w:hint="eastAsia"/>
          <w:sz w:val="18"/>
          <w:szCs w:val="18"/>
        </w:rPr>
        <w:t>2024</w:t>
      </w:r>
      <w:r>
        <w:rPr>
          <w:rFonts w:ascii="Times New Roman" w:hAnsi="Times New Roman" w:cs="Times New Roman" w:hint="eastAsia"/>
          <w:sz w:val="18"/>
          <w:szCs w:val="18"/>
        </w:rPr>
        <w:t>年</w:t>
      </w:r>
      <w:r>
        <w:rPr>
          <w:rFonts w:ascii="Times New Roman" w:hAnsi="Times New Roman" w:cs="Times New Roman" w:hint="eastAsia"/>
          <w:sz w:val="18"/>
          <w:szCs w:val="18"/>
        </w:rPr>
        <w:t>12</w:t>
      </w:r>
      <w:r>
        <w:rPr>
          <w:rFonts w:ascii="Times New Roman" w:hAnsi="Times New Roman" w:cs="Times New Roman" w:hint="eastAsia"/>
          <w:sz w:val="18"/>
          <w:szCs w:val="18"/>
        </w:rPr>
        <w:t>月</w:t>
      </w:r>
      <w:r>
        <w:rPr>
          <w:rFonts w:ascii="Times New Roman" w:hAnsi="Times New Roman" w:cs="Times New Roman" w:hint="eastAsia"/>
          <w:sz w:val="18"/>
          <w:szCs w:val="18"/>
        </w:rPr>
        <w:t>31</w:t>
      </w:r>
      <w:r>
        <w:rPr>
          <w:rFonts w:ascii="Times New Roman" w:hAnsi="Times New Roman" w:cs="Times New Roman" w:hint="eastAsia"/>
          <w:sz w:val="18"/>
          <w:szCs w:val="18"/>
        </w:rPr>
        <w:t>日的合并及公司财务状况以及</w:t>
      </w:r>
      <w:r>
        <w:rPr>
          <w:rFonts w:ascii="Times New Roman" w:hAnsi="Times New Roman" w:cs="Times New Roman" w:hint="eastAsia"/>
          <w:sz w:val="18"/>
          <w:szCs w:val="18"/>
        </w:rPr>
        <w:t>2024</w:t>
      </w:r>
      <w:r>
        <w:rPr>
          <w:rFonts w:ascii="Times New Roman" w:hAnsi="Times New Roman" w:cs="Times New Roman" w:hint="eastAsia"/>
          <w:sz w:val="18"/>
          <w:szCs w:val="18"/>
        </w:rPr>
        <w:t>年的合并及公司经营成果和合并及公司现金流量等有关信息。</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2</w:t>
      </w:r>
      <w:r>
        <w:rPr>
          <w:rFonts w:ascii="Times New Roman" w:eastAsiaTheme="minorEastAsia" w:hAnsi="Times New Roman" w:cs="Times New Roman"/>
          <w:sz w:val="21"/>
        </w:rPr>
        <w:t>、会计期间</w:t>
      </w:r>
      <w:bookmarkEnd w:id="21"/>
    </w:p>
    <w:p w:rsidR="00403CD6" w:rsidRDefault="00E91A59">
      <w:pPr>
        <w:ind w:firstLineChars="200" w:firstLine="360"/>
        <w:rPr>
          <w:rFonts w:ascii="Times New Roman" w:hAnsi="Times New Roman" w:cs="Times New Roman"/>
          <w:sz w:val="18"/>
          <w:szCs w:val="18"/>
        </w:rPr>
      </w:pPr>
      <w:bookmarkStart w:id="22" w:name="_Toc989072"/>
      <w:r>
        <w:rPr>
          <w:rFonts w:ascii="Times New Roman" w:hAnsi="Times New Roman" w:cs="Times New Roman" w:hint="eastAsia"/>
          <w:sz w:val="18"/>
          <w:szCs w:val="18"/>
        </w:rPr>
        <w:t>本公司会计期间采用公历年度，即每年自</w:t>
      </w:r>
      <w:r>
        <w:rPr>
          <w:rFonts w:ascii="Times New Roman" w:hAnsi="Times New Roman" w:cs="Times New Roman" w:hint="eastAsia"/>
          <w:sz w:val="18"/>
          <w:szCs w:val="18"/>
        </w:rPr>
        <w:t>1</w:t>
      </w:r>
      <w:r>
        <w:rPr>
          <w:rFonts w:ascii="Times New Roman" w:hAnsi="Times New Roman" w:cs="Times New Roman" w:hint="eastAsia"/>
          <w:sz w:val="18"/>
          <w:szCs w:val="18"/>
        </w:rPr>
        <w:t>月</w:t>
      </w:r>
      <w:r>
        <w:rPr>
          <w:rFonts w:ascii="Times New Roman" w:hAnsi="Times New Roman" w:cs="Times New Roman" w:hint="eastAsia"/>
          <w:sz w:val="18"/>
          <w:szCs w:val="18"/>
        </w:rPr>
        <w:t>1</w:t>
      </w:r>
      <w:r>
        <w:rPr>
          <w:rFonts w:ascii="Times New Roman" w:hAnsi="Times New Roman" w:cs="Times New Roman" w:hint="eastAsia"/>
          <w:sz w:val="18"/>
          <w:szCs w:val="18"/>
        </w:rPr>
        <w:t>日起至</w:t>
      </w:r>
      <w:r>
        <w:rPr>
          <w:rFonts w:ascii="Times New Roman" w:hAnsi="Times New Roman" w:cs="Times New Roman" w:hint="eastAsia"/>
          <w:sz w:val="18"/>
          <w:szCs w:val="18"/>
        </w:rPr>
        <w:t>12</w:t>
      </w:r>
      <w:r>
        <w:rPr>
          <w:rFonts w:ascii="Times New Roman" w:hAnsi="Times New Roman" w:cs="Times New Roman" w:hint="eastAsia"/>
          <w:sz w:val="18"/>
          <w:szCs w:val="18"/>
        </w:rPr>
        <w:t>月</w:t>
      </w:r>
      <w:r>
        <w:rPr>
          <w:rFonts w:ascii="Times New Roman" w:hAnsi="Times New Roman" w:cs="Times New Roman" w:hint="eastAsia"/>
          <w:sz w:val="18"/>
          <w:szCs w:val="18"/>
        </w:rPr>
        <w:t>31</w:t>
      </w:r>
      <w:r>
        <w:rPr>
          <w:rFonts w:ascii="Times New Roman" w:hAnsi="Times New Roman" w:cs="Times New Roman" w:hint="eastAsia"/>
          <w:sz w:val="18"/>
          <w:szCs w:val="18"/>
        </w:rPr>
        <w:t>日止。</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3</w:t>
      </w:r>
      <w:r>
        <w:rPr>
          <w:rFonts w:ascii="Times New Roman" w:eastAsiaTheme="minorEastAsia" w:hAnsi="Times New Roman" w:cs="Times New Roman"/>
          <w:sz w:val="21"/>
        </w:rPr>
        <w:t>、营业周期</w:t>
      </w:r>
      <w:bookmarkEnd w:id="22"/>
    </w:p>
    <w:p w:rsidR="00403CD6" w:rsidRDefault="00E91A59">
      <w:pPr>
        <w:ind w:firstLineChars="200" w:firstLine="360"/>
        <w:rPr>
          <w:rFonts w:ascii="Times New Roman" w:hAnsi="Times New Roman" w:cs="Times New Roman"/>
          <w:sz w:val="18"/>
          <w:szCs w:val="18"/>
        </w:rPr>
      </w:pPr>
      <w:bookmarkStart w:id="23" w:name="_Toc989073"/>
      <w:r>
        <w:rPr>
          <w:rFonts w:ascii="Times New Roman" w:hAnsi="Times New Roman" w:cs="Times New Roman" w:hint="eastAsia"/>
          <w:sz w:val="18"/>
          <w:szCs w:val="18"/>
        </w:rPr>
        <w:t>本公司的营业周期为</w:t>
      </w:r>
      <w:r>
        <w:rPr>
          <w:rFonts w:ascii="Times New Roman" w:hAnsi="Times New Roman" w:cs="Times New Roman" w:hint="eastAsia"/>
          <w:sz w:val="18"/>
          <w:szCs w:val="18"/>
        </w:rPr>
        <w:t>12</w:t>
      </w:r>
      <w:r>
        <w:rPr>
          <w:rFonts w:ascii="Times New Roman" w:hAnsi="Times New Roman" w:cs="Times New Roman" w:hint="eastAsia"/>
          <w:sz w:val="18"/>
          <w:szCs w:val="18"/>
        </w:rPr>
        <w:t>个月。</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4</w:t>
      </w:r>
      <w:r>
        <w:rPr>
          <w:rFonts w:ascii="Times New Roman" w:eastAsiaTheme="minorEastAsia" w:hAnsi="Times New Roman" w:cs="Times New Roman"/>
          <w:sz w:val="21"/>
        </w:rPr>
        <w:t>、记账本位币</w:t>
      </w:r>
      <w:bookmarkEnd w:id="23"/>
    </w:p>
    <w:p w:rsidR="00403CD6" w:rsidRDefault="00E91A59">
      <w:pPr>
        <w:ind w:firstLineChars="200" w:firstLine="360"/>
        <w:rPr>
          <w:rFonts w:ascii="Times New Roman" w:hAnsi="Times New Roman" w:cs="Times New Roman"/>
          <w:sz w:val="18"/>
          <w:szCs w:val="18"/>
        </w:rPr>
      </w:pPr>
      <w:bookmarkStart w:id="24" w:name="_Toc989074"/>
      <w:r>
        <w:rPr>
          <w:rFonts w:ascii="Times New Roman" w:hAnsi="Times New Roman" w:cs="Times New Roman" w:hint="eastAsia"/>
          <w:sz w:val="18"/>
          <w:szCs w:val="18"/>
        </w:rPr>
        <w:t>本公司及境内子公司以人民币为记账本位币。本公司之境外子公司根据其经营所处的主要经济环境中的货币确定美元、日元、欧元、韩元为其记账本位币。本公司编制本财务报表时所采用的货币为人民币。</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5</w:t>
      </w:r>
      <w:r>
        <w:rPr>
          <w:rFonts w:ascii="Times New Roman" w:eastAsiaTheme="minorEastAsia" w:hAnsi="Times New Roman" w:cs="Times New Roman"/>
          <w:sz w:val="21"/>
        </w:rPr>
        <w:t>、</w:t>
      </w:r>
      <w:r>
        <w:rPr>
          <w:rFonts w:ascii="Times New Roman" w:eastAsiaTheme="minorEastAsia" w:hAnsi="Times New Roman" w:cs="Times New Roman" w:hint="eastAsia"/>
          <w:sz w:val="21"/>
        </w:rPr>
        <w:t>重要性标准确定方法和选择依据</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507"/>
        <w:gridCol w:w="5140"/>
      </w:tblGrid>
      <w:tr w:rsidR="00403CD6">
        <w:trPr>
          <w:trHeight w:val="284"/>
        </w:trPr>
        <w:tc>
          <w:tcPr>
            <w:tcW w:w="4236" w:type="dxa"/>
            <w:shd w:val="clear" w:color="auto" w:fill="D9D9D9" w:themeFill="background1" w:themeFillShade="D9"/>
            <w:vAlign w:val="center"/>
          </w:tcPr>
          <w:p w:rsidR="00403CD6" w:rsidRDefault="00E91A59">
            <w:pPr>
              <w:jc w:val="center"/>
              <w:rPr>
                <w:rFonts w:ascii="Times New Roman" w:hAnsi="Times New Roman" w:cs="Times New Roman"/>
                <w:kern w:val="0"/>
                <w:sz w:val="18"/>
                <w:szCs w:val="18"/>
              </w:rPr>
            </w:pPr>
            <w:r>
              <w:rPr>
                <w:rFonts w:ascii="Times New Roman" w:hAnsi="Times New Roman" w:cs="Times New Roman"/>
                <w:kern w:val="0"/>
                <w:sz w:val="18"/>
                <w:szCs w:val="18"/>
              </w:rPr>
              <w:t>项</w:t>
            </w:r>
            <w:r>
              <w:rPr>
                <w:rFonts w:ascii="Times New Roman" w:hAnsi="Times New Roman" w:cs="Times New Roman"/>
                <w:kern w:val="0"/>
                <w:sz w:val="18"/>
                <w:szCs w:val="18"/>
              </w:rPr>
              <w:t xml:space="preserve"> </w:t>
            </w:r>
            <w:r>
              <w:rPr>
                <w:rFonts w:ascii="Times New Roman" w:hAnsi="Times New Roman" w:cs="Times New Roman"/>
                <w:kern w:val="0"/>
                <w:sz w:val="18"/>
                <w:szCs w:val="18"/>
              </w:rPr>
              <w:t>目</w:t>
            </w:r>
          </w:p>
        </w:tc>
        <w:tc>
          <w:tcPr>
            <w:tcW w:w="4829" w:type="dxa"/>
            <w:shd w:val="clear" w:color="auto" w:fill="D9D9D9" w:themeFill="background1" w:themeFillShade="D9"/>
            <w:vAlign w:val="center"/>
          </w:tcPr>
          <w:p w:rsidR="00403CD6" w:rsidRDefault="00E91A59">
            <w:pPr>
              <w:jc w:val="center"/>
              <w:rPr>
                <w:rFonts w:ascii="Times New Roman" w:hAnsi="Times New Roman" w:cs="Times New Roman"/>
                <w:kern w:val="0"/>
                <w:sz w:val="18"/>
                <w:szCs w:val="18"/>
              </w:rPr>
            </w:pPr>
            <w:r>
              <w:rPr>
                <w:rFonts w:ascii="Times New Roman" w:hAnsi="Times New Roman" w:cs="Times New Roman"/>
                <w:kern w:val="0"/>
                <w:sz w:val="18"/>
                <w:szCs w:val="18"/>
              </w:rPr>
              <w:t>重要性标准</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重要的单项计提坏账准备的应收款项</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发生逾期且单笔应收款项金额超过资产总额的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本期重要的应收款项核销</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单笔核销金额超过净资产的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年的重要预付款项</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年且单笔金额超过资产总额的</w:t>
            </w:r>
            <w:r>
              <w:rPr>
                <w:rFonts w:ascii="Times New Roman" w:hAnsi="Times New Roman" w:cs="Times New Roman" w:hint="eastAsia"/>
                <w:kern w:val="0"/>
                <w:sz w:val="18"/>
                <w:szCs w:val="18"/>
              </w:rPr>
              <w:t xml:space="preserve">0.5% </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年的重要预收款项</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年且单笔金额超过资产总额的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年的重要其他应付款</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年且单笔金额超过资产总额的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年的重要应付账款</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账龄超过</w:t>
            </w:r>
            <w:r>
              <w:rPr>
                <w:rFonts w:ascii="Times New Roman" w:hAnsi="Times New Roman" w:cs="Times New Roman" w:hint="eastAsia"/>
                <w:kern w:val="0"/>
                <w:sz w:val="18"/>
                <w:szCs w:val="18"/>
              </w:rPr>
              <w:t>1</w:t>
            </w:r>
            <w:r>
              <w:rPr>
                <w:rFonts w:ascii="Times New Roman" w:hAnsi="Times New Roman" w:cs="Times New Roman" w:hint="eastAsia"/>
                <w:kern w:val="0"/>
                <w:sz w:val="18"/>
                <w:szCs w:val="18"/>
              </w:rPr>
              <w:t>年且单笔金额超过资产总额的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lastRenderedPageBreak/>
              <w:t>本期转回或收回金额重要的坏账准备</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个别认定或划分第三阶段，转回或收回金额超过资产总额的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重要的在建工程</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预算超过资产总额的</w:t>
            </w:r>
            <w:r>
              <w:rPr>
                <w:rFonts w:ascii="Times New Roman" w:hAnsi="Times New Roman" w:cs="Times New Roman" w:hint="eastAsia"/>
                <w:kern w:val="0"/>
                <w:sz w:val="18"/>
                <w:szCs w:val="18"/>
              </w:rPr>
              <w:t>0.5%</w:t>
            </w:r>
            <w:r>
              <w:rPr>
                <w:rFonts w:ascii="Times New Roman" w:hAnsi="Times New Roman" w:cs="Times New Roman" w:hint="eastAsia"/>
                <w:kern w:val="0"/>
                <w:sz w:val="18"/>
                <w:szCs w:val="18"/>
              </w:rPr>
              <w:t>的工程项目</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重要的非全资子公司</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子公司资产总额超过本公司合并口径</w:t>
            </w:r>
            <w:r>
              <w:rPr>
                <w:rFonts w:ascii="Times New Roman" w:hAnsi="Times New Roman" w:cs="Times New Roman" w:hint="eastAsia"/>
                <w:kern w:val="0"/>
                <w:sz w:val="18"/>
                <w:szCs w:val="18"/>
              </w:rPr>
              <w:t>10%</w:t>
            </w:r>
            <w:r>
              <w:rPr>
                <w:rFonts w:ascii="Times New Roman" w:hAnsi="Times New Roman" w:cs="Times New Roman" w:hint="eastAsia"/>
                <w:kern w:val="0"/>
                <w:sz w:val="18"/>
                <w:szCs w:val="18"/>
              </w:rPr>
              <w:t>且收入或税前利润超过</w:t>
            </w:r>
            <w:r>
              <w:rPr>
                <w:rFonts w:ascii="Times New Roman" w:hAnsi="Times New Roman" w:cs="Times New Roman" w:hint="eastAsia"/>
                <w:kern w:val="0"/>
                <w:sz w:val="18"/>
                <w:szCs w:val="18"/>
              </w:rPr>
              <w:t>10%</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重要的投资活动项目</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投资金额超过资产总额的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重要的合营企业及联营企业</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合营或联营企业正常经营且核算金额超过资产总额的</w:t>
            </w:r>
            <w:r>
              <w:rPr>
                <w:rFonts w:ascii="Times New Roman" w:hAnsi="Times New Roman" w:cs="Times New Roman" w:hint="eastAsia"/>
                <w:kern w:val="0"/>
                <w:sz w:val="18"/>
                <w:szCs w:val="18"/>
              </w:rPr>
              <w:t>0.5%</w:t>
            </w:r>
          </w:p>
        </w:tc>
      </w:tr>
      <w:tr w:rsidR="00403CD6">
        <w:trPr>
          <w:trHeight w:val="284"/>
        </w:trPr>
        <w:tc>
          <w:tcPr>
            <w:tcW w:w="2336"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重要的债务重组</w:t>
            </w:r>
          </w:p>
        </w:tc>
        <w:tc>
          <w:tcPr>
            <w:tcW w:w="2663" w:type="pct"/>
            <w:vAlign w:val="center"/>
          </w:tcPr>
          <w:p w:rsidR="00403CD6" w:rsidRDefault="00E91A59">
            <w:pPr>
              <w:rPr>
                <w:rFonts w:ascii="Times New Roman" w:hAnsi="Times New Roman" w:cs="Times New Roman"/>
                <w:kern w:val="0"/>
                <w:sz w:val="18"/>
                <w:szCs w:val="18"/>
              </w:rPr>
            </w:pPr>
            <w:r>
              <w:rPr>
                <w:rFonts w:ascii="Times New Roman" w:hAnsi="Times New Roman" w:cs="Times New Roman" w:hint="eastAsia"/>
                <w:kern w:val="0"/>
                <w:sz w:val="18"/>
                <w:szCs w:val="18"/>
              </w:rPr>
              <w:t>重组金额超过资产总额的</w:t>
            </w:r>
            <w:r>
              <w:rPr>
                <w:rFonts w:ascii="Times New Roman" w:hAnsi="Times New Roman" w:cs="Times New Roman" w:hint="eastAsia"/>
                <w:kern w:val="0"/>
                <w:sz w:val="18"/>
                <w:szCs w:val="18"/>
              </w:rPr>
              <w:t>0.5%</w:t>
            </w:r>
          </w:p>
        </w:tc>
      </w:tr>
    </w:tbl>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6</w:t>
      </w:r>
      <w:r>
        <w:rPr>
          <w:rFonts w:ascii="Times New Roman" w:eastAsiaTheme="minorEastAsia" w:hAnsi="Times New Roman" w:cs="Times New Roman"/>
          <w:sz w:val="21"/>
        </w:rPr>
        <w:t>、同</w:t>
      </w:r>
      <w:proofErr w:type="gramStart"/>
      <w:r>
        <w:rPr>
          <w:rFonts w:ascii="Times New Roman" w:eastAsiaTheme="minorEastAsia" w:hAnsi="Times New Roman" w:cs="Times New Roman"/>
          <w:sz w:val="21"/>
        </w:rPr>
        <w:t>一控制</w:t>
      </w:r>
      <w:proofErr w:type="gramEnd"/>
      <w:r>
        <w:rPr>
          <w:rFonts w:ascii="Times New Roman" w:eastAsiaTheme="minorEastAsia" w:hAnsi="Times New Roman" w:cs="Times New Roman"/>
          <w:sz w:val="21"/>
        </w:rPr>
        <w:t>下和非同</w:t>
      </w:r>
      <w:proofErr w:type="gramStart"/>
      <w:r>
        <w:rPr>
          <w:rFonts w:ascii="Times New Roman" w:eastAsiaTheme="minorEastAsia" w:hAnsi="Times New Roman" w:cs="Times New Roman"/>
          <w:sz w:val="21"/>
        </w:rPr>
        <w:t>一控制</w:t>
      </w:r>
      <w:proofErr w:type="gramEnd"/>
      <w:r>
        <w:rPr>
          <w:rFonts w:ascii="Times New Roman" w:eastAsiaTheme="minorEastAsia" w:hAnsi="Times New Roman" w:cs="Times New Roman"/>
          <w:sz w:val="21"/>
        </w:rPr>
        <w:t>下企业合并的会计处理方法</w:t>
      </w:r>
      <w:bookmarkEnd w:id="24"/>
    </w:p>
    <w:p w:rsidR="00403CD6" w:rsidRDefault="00E91A59">
      <w:pPr>
        <w:ind w:firstLineChars="200" w:firstLine="360"/>
        <w:rPr>
          <w:rFonts w:ascii="Times New Roman" w:hAnsi="Times New Roman" w:cs="Times New Roman"/>
          <w:sz w:val="18"/>
          <w:szCs w:val="18"/>
        </w:rPr>
      </w:pPr>
      <w:bookmarkStart w:id="25" w:name="_Toc989075"/>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下的企业合并，合并方在合并中取得的被合并方的资产、负债，按</w:t>
      </w:r>
      <w:proofErr w:type="gramStart"/>
      <w:r>
        <w:rPr>
          <w:rFonts w:ascii="Times New Roman" w:hAnsi="Times New Roman" w:cs="Times New Roman" w:hint="eastAsia"/>
          <w:sz w:val="18"/>
          <w:szCs w:val="18"/>
        </w:rPr>
        <w:t>合并日</w:t>
      </w:r>
      <w:proofErr w:type="gramEnd"/>
      <w:r>
        <w:rPr>
          <w:rFonts w:ascii="Times New Roman" w:hAnsi="Times New Roman" w:cs="Times New Roman" w:hint="eastAsia"/>
          <w:sz w:val="18"/>
          <w:szCs w:val="18"/>
        </w:rPr>
        <w:t>被合并方在最终控制方合并财务报表中的账面价值计量。合并对价的账面价值与合并中取得的净资产账面价值的差额调整资本公积，资本公</w:t>
      </w:r>
      <w:proofErr w:type="gramStart"/>
      <w:r>
        <w:rPr>
          <w:rFonts w:ascii="Times New Roman" w:hAnsi="Times New Roman" w:cs="Times New Roman" w:hint="eastAsia"/>
          <w:sz w:val="18"/>
          <w:szCs w:val="18"/>
        </w:rPr>
        <w:t>积不足</w:t>
      </w:r>
      <w:proofErr w:type="gramEnd"/>
      <w:r>
        <w:rPr>
          <w:rFonts w:ascii="Times New Roman" w:hAnsi="Times New Roman" w:cs="Times New Roman" w:hint="eastAsia"/>
          <w:sz w:val="18"/>
          <w:szCs w:val="18"/>
        </w:rPr>
        <w:t>冲减的，调整留存收益。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通过多次交易分步实现同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合并方在合并中取得的被合并方的资产、负债，按</w:t>
      </w:r>
      <w:proofErr w:type="gramStart"/>
      <w:r>
        <w:rPr>
          <w:rFonts w:ascii="Times New Roman" w:hAnsi="Times New Roman" w:cs="Times New Roman" w:hint="eastAsia"/>
          <w:sz w:val="18"/>
          <w:szCs w:val="18"/>
        </w:rPr>
        <w:t>合并日</w:t>
      </w:r>
      <w:proofErr w:type="gramEnd"/>
      <w:r>
        <w:rPr>
          <w:rFonts w:ascii="Times New Roman" w:hAnsi="Times New Roman" w:cs="Times New Roman" w:hint="eastAsia"/>
          <w:sz w:val="18"/>
          <w:szCs w:val="18"/>
        </w:rPr>
        <w:t>在最终控制方合并财务报表中的账面价值计量；合并前持有投资的账面价值加上合并日新支付对价的账面价值之和，与合并中取得的净资产账面价值的差额，调整资本公积（股本溢价</w:t>
      </w:r>
      <w:r>
        <w:rPr>
          <w:rFonts w:ascii="Times New Roman" w:hAnsi="Times New Roman" w:cs="Times New Roman" w:hint="eastAsia"/>
          <w:sz w:val="18"/>
          <w:szCs w:val="18"/>
        </w:rPr>
        <w:t>/</w:t>
      </w:r>
      <w:r>
        <w:rPr>
          <w:rFonts w:ascii="Times New Roman" w:hAnsi="Times New Roman" w:cs="Times New Roman" w:hint="eastAsia"/>
          <w:sz w:val="18"/>
          <w:szCs w:val="18"/>
        </w:rPr>
        <w:t>资本溢价），资本公</w:t>
      </w:r>
      <w:proofErr w:type="gramStart"/>
      <w:r>
        <w:rPr>
          <w:rFonts w:ascii="Times New Roman" w:hAnsi="Times New Roman" w:cs="Times New Roman" w:hint="eastAsia"/>
          <w:sz w:val="18"/>
          <w:szCs w:val="18"/>
        </w:rPr>
        <w:t>积不足</w:t>
      </w:r>
      <w:proofErr w:type="gramEnd"/>
      <w:r>
        <w:rPr>
          <w:rFonts w:ascii="Times New Roman" w:hAnsi="Times New Roman" w:cs="Times New Roman" w:hint="eastAsia"/>
          <w:sz w:val="18"/>
          <w:szCs w:val="18"/>
        </w:rPr>
        <w:t>冲减的，调整留存收益。合并方在取得被合并方控制权之前持有的长期股权投资，在取得原股权之日与合并方和被合并方同处于同一方最终控制之</w:t>
      </w:r>
      <w:proofErr w:type="gramStart"/>
      <w:r>
        <w:rPr>
          <w:rFonts w:ascii="Times New Roman" w:hAnsi="Times New Roman" w:cs="Times New Roman" w:hint="eastAsia"/>
          <w:sz w:val="18"/>
          <w:szCs w:val="18"/>
        </w:rPr>
        <w:t>日孰晚日</w:t>
      </w:r>
      <w:proofErr w:type="gramEnd"/>
      <w:r>
        <w:rPr>
          <w:rFonts w:ascii="Times New Roman" w:hAnsi="Times New Roman" w:cs="Times New Roman" w:hint="eastAsia"/>
          <w:sz w:val="18"/>
          <w:szCs w:val="18"/>
        </w:rPr>
        <w:t>起至</w:t>
      </w:r>
      <w:proofErr w:type="gramStart"/>
      <w:r>
        <w:rPr>
          <w:rFonts w:ascii="Times New Roman" w:hAnsi="Times New Roman" w:cs="Times New Roman" w:hint="eastAsia"/>
          <w:sz w:val="18"/>
          <w:szCs w:val="18"/>
        </w:rPr>
        <w:t>合并日</w:t>
      </w:r>
      <w:proofErr w:type="gramEnd"/>
      <w:r>
        <w:rPr>
          <w:rFonts w:ascii="Times New Roman" w:hAnsi="Times New Roman" w:cs="Times New Roman" w:hint="eastAsia"/>
          <w:sz w:val="18"/>
          <w:szCs w:val="18"/>
        </w:rPr>
        <w:t>之间已确认有关损益、其他综合收益和其他所有者权益变动，应分别冲减比较报表期间的期初留存收益或当期损益。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）非同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对于非同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下的企业合并，合并成本为购买日为取得对被购买方的控制权而付出的资产、发生或承担的负债以及发行的权益</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的公允价值。在购买日，取得的被购买方的资产、负债及或有负债按公允价值确认。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合并成本大于合并中取得的被购买方可辨认净资产公允价值份额的差额，确认为商誉，按成本扣除累计减值准备进行后续计量；对合并成本小于合并中取得的被购买方可辨认净资产公允价值份额的差额，经复核后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通过多次交易分步实现非同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下的企业合并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合并成本为购买日支付的对价与购买日之前已经持有的被购买方的股权在购买日的公允价值之</w:t>
      </w:r>
      <w:proofErr w:type="gramStart"/>
      <w:r>
        <w:rPr>
          <w:rFonts w:ascii="Times New Roman" w:hAnsi="Times New Roman" w:cs="Times New Roman" w:hint="eastAsia"/>
          <w:sz w:val="18"/>
          <w:szCs w:val="18"/>
        </w:rPr>
        <w:t>和</w:t>
      </w:r>
      <w:proofErr w:type="gramEnd"/>
      <w:r>
        <w:rPr>
          <w:rFonts w:ascii="Times New Roman" w:hAnsi="Times New Roman" w:cs="Times New Roman" w:hint="eastAsia"/>
          <w:sz w:val="18"/>
          <w:szCs w:val="18"/>
        </w:rPr>
        <w:t>。对于购买日之前已经持有的被购买方的股权，按照该股权在购买日的公允价值进行重新计量，公允价值与其账面价值之间的差额计入当期投资收益；购买日之前已经持有的被购买方的股权涉及其他综合收益、其他所有者权益变动转为购买日当期收益，由于被投资方重新计量设定受益计划净负债或净资产变动而产生的其他综合收益以及原指定为以公允价值计量且其变动计入其他综合收益的</w:t>
      </w:r>
      <w:proofErr w:type="gramStart"/>
      <w:r>
        <w:rPr>
          <w:rFonts w:ascii="Times New Roman" w:hAnsi="Times New Roman" w:cs="Times New Roman" w:hint="eastAsia"/>
          <w:sz w:val="18"/>
          <w:szCs w:val="18"/>
        </w:rPr>
        <w:t>非交易</w:t>
      </w:r>
      <w:proofErr w:type="gramEnd"/>
      <w:r>
        <w:rPr>
          <w:rFonts w:ascii="Times New Roman" w:hAnsi="Times New Roman" w:cs="Times New Roman" w:hint="eastAsia"/>
          <w:sz w:val="18"/>
          <w:szCs w:val="18"/>
        </w:rPr>
        <w:t>性权益工具投资相关的其他综合收益除外。</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）企业合并中有关交易费用的处理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为进行企业合并发生的审计、法律服务、评估咨询等中介费用以及其他相关管理费用，于发生时计入当期损益。作为合并对价发行的权益</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或债务</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的交易费用，计入权益</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或债务</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的初始确认金额。</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7</w:t>
      </w:r>
      <w:r>
        <w:rPr>
          <w:rFonts w:ascii="Times New Roman" w:eastAsiaTheme="minorEastAsia" w:hAnsi="Times New Roman" w:cs="Times New Roman"/>
          <w:sz w:val="21"/>
        </w:rPr>
        <w:t>、</w:t>
      </w:r>
      <w:r>
        <w:rPr>
          <w:rFonts w:ascii="Times New Roman" w:eastAsiaTheme="minorEastAsia" w:hAnsi="Times New Roman" w:cs="Times New Roman" w:hint="eastAsia"/>
          <w:sz w:val="21"/>
        </w:rPr>
        <w:t>控制的判断标准和</w:t>
      </w:r>
      <w:r>
        <w:rPr>
          <w:rFonts w:ascii="Times New Roman" w:eastAsiaTheme="minorEastAsia" w:hAnsi="Times New Roman" w:cs="Times New Roman"/>
          <w:sz w:val="21"/>
        </w:rPr>
        <w:t>合并财务报表的编制方法</w:t>
      </w:r>
      <w:bookmarkStart w:id="26" w:name="_Toc989076"/>
      <w:bookmarkEnd w:id="25"/>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 xml:space="preserve"> </w:t>
      </w: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）控制的判断标准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合并财务报表的合并范围以控制为基础予以确定。控制，是指本公司拥有对被投资单位的权力，通过参与被投资单位的相关活动而享有可变回报，并且有能力运用对被投资单位的权力影响其回报金额。</w:t>
      </w:r>
      <w:proofErr w:type="gramStart"/>
      <w:r>
        <w:rPr>
          <w:rFonts w:ascii="Times New Roman" w:hAnsi="Times New Roman" w:cs="Times New Roman" w:hint="eastAsia"/>
          <w:sz w:val="18"/>
          <w:szCs w:val="18"/>
        </w:rPr>
        <w:t>当相关</w:t>
      </w:r>
      <w:proofErr w:type="gramEnd"/>
      <w:r>
        <w:rPr>
          <w:rFonts w:ascii="Times New Roman" w:hAnsi="Times New Roman" w:cs="Times New Roman" w:hint="eastAsia"/>
          <w:sz w:val="18"/>
          <w:szCs w:val="18"/>
        </w:rPr>
        <w:t>事实和情况的变化导致对控制定义所涉及的相关要素发生变化时，本公司将进行重新评估。</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判断是否将结构化主体纳入合并范围时，本公司综合所有事实和情况，包括评估结构化主体设立目的和设计、识别可变回报的类型、通过参与其相关活动是否承担了部分或全部的回报可变性等的基础上评估是否控制该结构化主体。</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）合并财务报表的编制方法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合并财务报表以本公司和子公司的财务报表为基础，根据其他有关资料，由本公司编制。在编制合并财务报表时，本公司和子公司的会计政策和会计期间要求保持一致，公司间的重大交易和往来余额予以</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lastRenderedPageBreak/>
        <w:t>在报告期内因同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企业合并增加的子公司以及业务，视同该子公司以及业务自同受最终控制方控制之日起纳入本公司的合并范围，将其自同受最终控制方控制之日起的经营成果、现金流量分别纳入合并利润表、合并现金流量表中。</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在报告期内因非同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下企业合并增加的子公司以及业务，将该子公司以及业务自购买日至报告期末的收入、费用、利润纳入合并利润表，将其现金流量纳入合并现金流量表。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子公司的股东权益中不属于本公司所拥有的部分，作为少数股东权益在合并资产负债表中股东权益项下单独列示；子公司当期净损益中属于少数股东权益的份额，在合并利润表中净利润项目下以“少数股东损益”项目列示。少数股东分担的子公司的亏损超过了少数股东在该子公司期初所有者权益中所享有的份额，其余额仍</w:t>
      </w:r>
      <w:proofErr w:type="gramStart"/>
      <w:r>
        <w:rPr>
          <w:rFonts w:ascii="Times New Roman" w:hAnsi="Times New Roman" w:cs="Times New Roman" w:hint="eastAsia"/>
          <w:sz w:val="18"/>
          <w:szCs w:val="18"/>
        </w:rPr>
        <w:t>冲减少</w:t>
      </w:r>
      <w:proofErr w:type="gramEnd"/>
      <w:r>
        <w:rPr>
          <w:rFonts w:ascii="Times New Roman" w:hAnsi="Times New Roman" w:cs="Times New Roman" w:hint="eastAsia"/>
          <w:sz w:val="18"/>
          <w:szCs w:val="18"/>
        </w:rPr>
        <w:t>数股东权益。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）购买子公司少数股东股权</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因购买少数股权新取得的长期股权投资成本与按照新增持股比例计算应享有子公司自购买日或</w:t>
      </w:r>
      <w:proofErr w:type="gramStart"/>
      <w:r>
        <w:rPr>
          <w:rFonts w:ascii="Times New Roman" w:hAnsi="Times New Roman" w:cs="Times New Roman" w:hint="eastAsia"/>
          <w:sz w:val="18"/>
          <w:szCs w:val="18"/>
        </w:rPr>
        <w:t>合并日</w:t>
      </w:r>
      <w:proofErr w:type="gramEnd"/>
      <w:r>
        <w:rPr>
          <w:rFonts w:ascii="Times New Roman" w:hAnsi="Times New Roman" w:cs="Times New Roman" w:hint="eastAsia"/>
          <w:sz w:val="18"/>
          <w:szCs w:val="18"/>
        </w:rPr>
        <w:t>开始持续计算的净资产份额之间的差额，以及在不丧失控制权的情况下因部分处置对子公司的股权投资而取得的处置价款与处置长期股权投资相对应享有子公司自购买日或</w:t>
      </w:r>
      <w:proofErr w:type="gramStart"/>
      <w:r>
        <w:rPr>
          <w:rFonts w:ascii="Times New Roman" w:hAnsi="Times New Roman" w:cs="Times New Roman" w:hint="eastAsia"/>
          <w:sz w:val="18"/>
          <w:szCs w:val="18"/>
        </w:rPr>
        <w:t>合并日</w:t>
      </w:r>
      <w:proofErr w:type="gramEnd"/>
      <w:r>
        <w:rPr>
          <w:rFonts w:ascii="Times New Roman" w:hAnsi="Times New Roman" w:cs="Times New Roman" w:hint="eastAsia"/>
          <w:sz w:val="18"/>
          <w:szCs w:val="18"/>
        </w:rPr>
        <w:t>开始持续计算的净资产份额之间的差额，均调整合并资产负债表中的资本公积，资本公</w:t>
      </w:r>
      <w:proofErr w:type="gramStart"/>
      <w:r>
        <w:rPr>
          <w:rFonts w:ascii="Times New Roman" w:hAnsi="Times New Roman" w:cs="Times New Roman" w:hint="eastAsia"/>
          <w:sz w:val="18"/>
          <w:szCs w:val="18"/>
        </w:rPr>
        <w:t>积不足</w:t>
      </w:r>
      <w:proofErr w:type="gramEnd"/>
      <w:r>
        <w:rPr>
          <w:rFonts w:ascii="Times New Roman" w:hAnsi="Times New Roman" w:cs="Times New Roman" w:hint="eastAsia"/>
          <w:sz w:val="18"/>
          <w:szCs w:val="18"/>
        </w:rPr>
        <w:t>冲减的，调整留存收益。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）丧失子公司控制权的处理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处置部分股权投资或其他原因丧失了对原有子公司控制权的，剩余股权按照其在丧失控制权日的公允价值进行重新计量；处置股权取得的对价与剩余股权公允价值之和，减去按原持股比例计算应享有原有子公司自购买日开始持续计算的净资产账面价值的份额与商誉之和，形成的差额计入丧失控制权当期的投资收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与原有子公司的股权投资相关的其他综合收益在丧失控制权时采用与原有子公司直接处置相关资产或负债相同的基础进行会计处理，与原有子公司相关的涉及权益法核算下的其他所有者权益变动在丧失控制权时转入当期损益。</w:t>
      </w:r>
      <w:r>
        <w:rPr>
          <w:rFonts w:ascii="Times New Roman" w:hAnsi="Times New Roman" w:cs="Times New Roman" w:hint="eastAsia"/>
          <w:sz w:val="18"/>
          <w:szCs w:val="18"/>
        </w:rPr>
        <w:t xml:space="preserve"> </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8</w:t>
      </w:r>
      <w:r>
        <w:rPr>
          <w:rFonts w:ascii="Times New Roman" w:eastAsiaTheme="minorEastAsia" w:hAnsi="Times New Roman" w:cs="Times New Roman"/>
          <w:sz w:val="21"/>
        </w:rPr>
        <w:t>、合营安排分类及共同经营会计处理方法</w:t>
      </w:r>
      <w:bookmarkEnd w:id="26"/>
    </w:p>
    <w:p w:rsidR="00403CD6" w:rsidRDefault="00E91A59">
      <w:pPr>
        <w:ind w:firstLineChars="200" w:firstLine="360"/>
        <w:rPr>
          <w:rFonts w:ascii="Times New Roman" w:hAnsi="Times New Roman" w:cs="Times New Roman"/>
          <w:sz w:val="18"/>
          <w:szCs w:val="18"/>
        </w:rPr>
      </w:pPr>
      <w:bookmarkStart w:id="27" w:name="_Toc989077"/>
      <w:r>
        <w:rPr>
          <w:rFonts w:ascii="Times New Roman" w:hAnsi="Times New Roman" w:cs="Times New Roman" w:hint="eastAsia"/>
          <w:sz w:val="18"/>
          <w:szCs w:val="18"/>
        </w:rPr>
        <w:t>合营安排，是指一项由两个或两个以上的参与方共同控制的安排。本公司合营安排分为共同经营和合营企业。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）共同经营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共同经营是指本公司享有该安排相关资产且承担该安排相关负债的合营安排。</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本公司确认与共同经营中利益份额相关的下列项目，并按照相关企业会计准则的规定进行会计处理：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A</w:t>
      </w:r>
      <w:r>
        <w:rPr>
          <w:rFonts w:ascii="Times New Roman" w:hAnsi="Times New Roman" w:cs="Times New Roman" w:hint="eastAsia"/>
          <w:sz w:val="18"/>
          <w:szCs w:val="18"/>
        </w:rPr>
        <w:t>、确认单独所持有的资产，以及按其份额确认共同持有的资产；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B</w:t>
      </w:r>
      <w:r>
        <w:rPr>
          <w:rFonts w:ascii="Times New Roman" w:hAnsi="Times New Roman" w:cs="Times New Roman" w:hint="eastAsia"/>
          <w:sz w:val="18"/>
          <w:szCs w:val="18"/>
        </w:rPr>
        <w:t>、确认单独所承担的负债，以及按其份额确认共同承担的负债；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C</w:t>
      </w:r>
      <w:r>
        <w:rPr>
          <w:rFonts w:ascii="Times New Roman" w:hAnsi="Times New Roman" w:cs="Times New Roman" w:hint="eastAsia"/>
          <w:sz w:val="18"/>
          <w:szCs w:val="18"/>
        </w:rPr>
        <w:t>、确认出售其享有的共同经营产出份额所产生的收入；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D</w:t>
      </w:r>
      <w:r>
        <w:rPr>
          <w:rFonts w:ascii="Times New Roman" w:hAnsi="Times New Roman" w:cs="Times New Roman" w:hint="eastAsia"/>
          <w:sz w:val="18"/>
          <w:szCs w:val="18"/>
        </w:rPr>
        <w:t>、按其份额确认共同经营因出售产出所产生的收入；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E</w:t>
      </w:r>
      <w:r>
        <w:rPr>
          <w:rFonts w:ascii="Times New Roman" w:hAnsi="Times New Roman" w:cs="Times New Roman" w:hint="eastAsia"/>
          <w:sz w:val="18"/>
          <w:szCs w:val="18"/>
        </w:rPr>
        <w:t>、确认单独所发生的费用，以及按其份额确认共同经营发生的费用。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）合营企业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合营企业是指本公司仅对该安排的净资产享有权利的合营安排。</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w:t>
      </w:r>
      <w:proofErr w:type="gramStart"/>
      <w:r>
        <w:rPr>
          <w:rFonts w:ascii="Times New Roman" w:hAnsi="Times New Roman" w:cs="Times New Roman" w:hint="eastAsia"/>
          <w:sz w:val="18"/>
          <w:szCs w:val="18"/>
        </w:rPr>
        <w:t>按照长期</w:t>
      </w:r>
      <w:proofErr w:type="gramEnd"/>
      <w:r>
        <w:rPr>
          <w:rFonts w:ascii="Times New Roman" w:hAnsi="Times New Roman" w:cs="Times New Roman" w:hint="eastAsia"/>
          <w:sz w:val="18"/>
          <w:szCs w:val="18"/>
        </w:rPr>
        <w:t>股权投资有关权益法核算的规定对合营企业的投资进行会计处理。</w:t>
      </w:r>
    </w:p>
    <w:p w:rsidR="00403CD6" w:rsidRDefault="00E91A59">
      <w:pPr>
        <w:pStyle w:val="30"/>
        <w:spacing w:line="280" w:lineRule="exact"/>
        <w:jc w:val="left"/>
        <w:rPr>
          <w:rFonts w:ascii="Times New Roman" w:eastAsiaTheme="minorEastAsia" w:hAnsi="Times New Roman" w:cs="Times New Roman"/>
        </w:rPr>
      </w:pPr>
      <w:r>
        <w:rPr>
          <w:rFonts w:ascii="Times New Roman" w:eastAsiaTheme="minorEastAsia" w:hAnsi="Times New Roman" w:cs="Times New Roman"/>
        </w:rPr>
        <w:t>9</w:t>
      </w:r>
      <w:r>
        <w:rPr>
          <w:rFonts w:ascii="Times New Roman" w:eastAsiaTheme="minorEastAsia" w:hAnsi="Times New Roman" w:cs="Times New Roman"/>
        </w:rPr>
        <w:t>、现金及现金等价物的确定标准</w:t>
      </w:r>
      <w:bookmarkEnd w:id="27"/>
    </w:p>
    <w:p w:rsidR="00403CD6" w:rsidRDefault="00E91A59">
      <w:pPr>
        <w:ind w:firstLineChars="200" w:firstLine="360"/>
        <w:rPr>
          <w:rFonts w:ascii="Times New Roman" w:hAnsi="Times New Roman" w:cs="Times New Roman"/>
          <w:sz w:val="18"/>
          <w:szCs w:val="18"/>
        </w:rPr>
      </w:pPr>
      <w:bookmarkStart w:id="28" w:name="_Toc989078"/>
      <w:r>
        <w:rPr>
          <w:rFonts w:ascii="Times New Roman" w:hAnsi="Times New Roman" w:cs="Times New Roman" w:hint="eastAsia"/>
          <w:sz w:val="18"/>
          <w:szCs w:val="18"/>
        </w:rPr>
        <w:t>现金是指库存现金以及可以随时用于支付的存款。现金等价物，是指本公司持有的期限短、流动性强、易于转换为已知金额现金、价值变动风险很小的投资。</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10</w:t>
      </w:r>
      <w:r>
        <w:rPr>
          <w:rFonts w:ascii="Times New Roman" w:eastAsiaTheme="minorEastAsia" w:hAnsi="Times New Roman" w:cs="Times New Roman"/>
          <w:sz w:val="21"/>
        </w:rPr>
        <w:t>、外币业务和外币报表折算</w:t>
      </w:r>
      <w:bookmarkEnd w:id="28"/>
    </w:p>
    <w:p w:rsidR="00403CD6" w:rsidRDefault="00E91A59">
      <w:pPr>
        <w:ind w:firstLineChars="200" w:firstLine="360"/>
        <w:rPr>
          <w:rFonts w:ascii="Times New Roman" w:hAnsi="Times New Roman" w:cs="Times New Roman"/>
          <w:sz w:val="18"/>
          <w:szCs w:val="18"/>
        </w:rPr>
      </w:pPr>
      <w:bookmarkStart w:id="29" w:name="_Toc989079"/>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）外币业务</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本公司发生外币业务，按交易发生日的即期汇率折算为记账本位币金额。</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资产负债表日，对外币货币性项目，采用资产负债表日即期汇率折算。因资产负债表日即期汇率与初始确认时或者</w:t>
      </w:r>
      <w:r>
        <w:rPr>
          <w:rFonts w:ascii="Times New Roman" w:hAnsi="Times New Roman" w:cs="Times New Roman" w:hint="eastAsia"/>
          <w:sz w:val="18"/>
          <w:szCs w:val="18"/>
        </w:rPr>
        <w:lastRenderedPageBreak/>
        <w:t>前一资产负债表日即期汇率不同而产生的汇兑差额，计入当期损益；对以历史成本计量的外币非货币性项目，仍采用交易发生日的即期汇率折算；对以公允价值计量的外币非货币性项目，采用公允价值确定日的即期汇率折算，折算后的记账本位</w:t>
      </w:r>
      <w:proofErr w:type="gramStart"/>
      <w:r>
        <w:rPr>
          <w:rFonts w:ascii="Times New Roman" w:hAnsi="Times New Roman" w:cs="Times New Roman" w:hint="eastAsia"/>
          <w:sz w:val="18"/>
          <w:szCs w:val="18"/>
        </w:rPr>
        <w:t>币金额</w:t>
      </w:r>
      <w:proofErr w:type="gramEnd"/>
      <w:r>
        <w:rPr>
          <w:rFonts w:ascii="Times New Roman" w:hAnsi="Times New Roman" w:cs="Times New Roman" w:hint="eastAsia"/>
          <w:sz w:val="18"/>
          <w:szCs w:val="18"/>
        </w:rPr>
        <w:t>与原记账本位</w:t>
      </w:r>
      <w:proofErr w:type="gramStart"/>
      <w:r>
        <w:rPr>
          <w:rFonts w:ascii="Times New Roman" w:hAnsi="Times New Roman" w:cs="Times New Roman" w:hint="eastAsia"/>
          <w:sz w:val="18"/>
          <w:szCs w:val="18"/>
        </w:rPr>
        <w:t>币金额</w:t>
      </w:r>
      <w:proofErr w:type="gramEnd"/>
      <w:r>
        <w:rPr>
          <w:rFonts w:ascii="Times New Roman" w:hAnsi="Times New Roman" w:cs="Times New Roman" w:hint="eastAsia"/>
          <w:sz w:val="18"/>
          <w:szCs w:val="18"/>
        </w:rPr>
        <w:t>的差额，根据非</w:t>
      </w:r>
      <w:proofErr w:type="gramStart"/>
      <w:r>
        <w:rPr>
          <w:rFonts w:ascii="Times New Roman" w:hAnsi="Times New Roman" w:cs="Times New Roman" w:hint="eastAsia"/>
          <w:sz w:val="18"/>
          <w:szCs w:val="18"/>
        </w:rPr>
        <w:t>货币性项目的</w:t>
      </w:r>
      <w:proofErr w:type="gramEnd"/>
      <w:r>
        <w:rPr>
          <w:rFonts w:ascii="Times New Roman" w:hAnsi="Times New Roman" w:cs="Times New Roman" w:hint="eastAsia"/>
          <w:sz w:val="18"/>
          <w:szCs w:val="18"/>
        </w:rPr>
        <w:t>性质计入当期损益或其他综合收益。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）外币财务报表的折算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资产负债表日，对境外子公司外币财务报表进行折算时，资产负债表中的资产和负债项目，采用资产负债表日的即期汇率折算，股东权益项目除“未分配利润”外，其他项目采用发生日的即期汇率折算。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利润表中的收入和费用项目，采用交易发生日的即期汇率折算。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现金流量表所有项目均按照现金流量发生日的即期汇率折算。汇率变动对现金的影响额作为调节项目，在现金流量表中单独列示“汇率变动对现金及现金等价物的影响”</w:t>
      </w:r>
      <w:r>
        <w:rPr>
          <w:rFonts w:ascii="Times New Roman" w:hAnsi="Times New Roman" w:cs="Times New Roman" w:hint="eastAsia"/>
          <w:sz w:val="18"/>
          <w:szCs w:val="18"/>
        </w:rPr>
        <w:t xml:space="preserve"> </w:t>
      </w:r>
      <w:r>
        <w:rPr>
          <w:rFonts w:ascii="Times New Roman" w:hAnsi="Times New Roman" w:cs="Times New Roman" w:hint="eastAsia"/>
          <w:sz w:val="18"/>
          <w:szCs w:val="18"/>
        </w:rPr>
        <w:t>项目反映。</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由于财务报表折算而产生的差额，在资产负债表股东权益项目下的“其他综合收益”项目反映。</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处置境外经营并丧失控制权时，将资产负债表中股东权益项目下列示的、与该境外经营相关的外币报表折算差额，全部或按处置该境外经营的比例转入处置当期损益。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sz w:val="21"/>
        </w:rPr>
        <w:t>11</w:t>
      </w:r>
      <w:r>
        <w:rPr>
          <w:rFonts w:ascii="Times New Roman" w:eastAsiaTheme="minorEastAsia" w:hAnsi="Times New Roman" w:cs="Times New Roman"/>
          <w:sz w:val="21"/>
        </w:rPr>
        <w:t>、金融工具</w:t>
      </w:r>
      <w:bookmarkEnd w:id="29"/>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金融工具是指形成一方的金融资产，并形成其他方的金融负债或权益工具的合同。</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）金融工具的确认和终止确认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本公司于成为金融工具合同的一方时确认一项金融资产或金融负债。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金融资产满足下列条件之一的，终止确认：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①</w:t>
      </w:r>
      <w:r>
        <w:rPr>
          <w:rFonts w:ascii="Times New Roman" w:hAnsi="Times New Roman" w:cs="Times New Roman" w:hint="eastAsia"/>
          <w:sz w:val="18"/>
          <w:szCs w:val="18"/>
        </w:rPr>
        <w:t xml:space="preserve"> </w:t>
      </w:r>
      <w:r>
        <w:rPr>
          <w:rFonts w:ascii="Times New Roman" w:hAnsi="Times New Roman" w:cs="Times New Roman" w:hint="eastAsia"/>
          <w:sz w:val="18"/>
          <w:szCs w:val="18"/>
        </w:rPr>
        <w:t>收取该金融资产现金流量的合同权利终止；</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②</w:t>
      </w:r>
      <w:r>
        <w:rPr>
          <w:rFonts w:ascii="Times New Roman" w:hAnsi="Times New Roman" w:cs="Times New Roman" w:hint="eastAsia"/>
          <w:sz w:val="18"/>
          <w:szCs w:val="18"/>
        </w:rPr>
        <w:t xml:space="preserve"> </w:t>
      </w:r>
      <w:r>
        <w:rPr>
          <w:rFonts w:ascii="Times New Roman" w:hAnsi="Times New Roman" w:cs="Times New Roman" w:hint="eastAsia"/>
          <w:sz w:val="18"/>
          <w:szCs w:val="18"/>
        </w:rPr>
        <w:t>该金融资产已转移，且符合下述金融资产转移的终止确认条件。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负债的现时义务全部或部分已经解除的，终止确认该金融负债或其一部分。本公司（债务人）与债权人之间签订协议，以承担新金融负债方式替换现存金融负债，且新金融负债与现存金融负债的合同条款实质上不同的，终止确认现存金融负债，并同时确认新金融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以常规方式买卖金融资产，按交易日进行会计确认和终止确认。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）金融资产分类和计量</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本公司在初始确认时根据管理金融资产的业务模式和金融资产的合同现金流量特征，将金融资产分为以下三类：以摊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计量的金融资产、以公允价值计量且其变动计入其他综合收益的金融资产、以公允价值计量且其变动计入当期损益的金融资产。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资产在初始确认时以公允价值计量。对于以公允价值计量且其变动计入当期损益的金融资产，相关交易费用直接计入当期损益；对于其他类别的金融资产，相关交易费用计入初始确认金额。因销售产品或提供劳务而产生的、未包含或不考虑重大融资成分的应收款项，本公司按照预期有权收取的对</w:t>
      </w:r>
      <w:proofErr w:type="gramStart"/>
      <w:r>
        <w:rPr>
          <w:rFonts w:ascii="Times New Roman" w:hAnsi="Times New Roman" w:cs="Times New Roman" w:hint="eastAsia"/>
          <w:sz w:val="18"/>
          <w:szCs w:val="18"/>
        </w:rPr>
        <w:t>价金额</w:t>
      </w:r>
      <w:proofErr w:type="gramEnd"/>
      <w:r>
        <w:rPr>
          <w:rFonts w:ascii="Times New Roman" w:hAnsi="Times New Roman" w:cs="Times New Roman" w:hint="eastAsia"/>
          <w:sz w:val="18"/>
          <w:szCs w:val="18"/>
        </w:rPr>
        <w:t>作为初始确认金额。</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本公司将同时符合下列条件且未被指定为以公允价值计量且其变动计入当期损益的金融资产，分类为以摊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本公司管理该金融资产的业务模式是以收取合同现金流量为目标；</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该金融资产的合同条款规定，在特定日期产生的现金流量，仅为对本金和以</w:t>
      </w:r>
      <w:proofErr w:type="gramStart"/>
      <w:r>
        <w:rPr>
          <w:rFonts w:ascii="Times New Roman" w:hAnsi="Times New Roman" w:cs="Times New Roman" w:hint="eastAsia"/>
          <w:sz w:val="18"/>
          <w:szCs w:val="18"/>
        </w:rPr>
        <w:t>未偿付本</w:t>
      </w:r>
      <w:proofErr w:type="gramEnd"/>
      <w:r>
        <w:rPr>
          <w:rFonts w:ascii="Times New Roman" w:hAnsi="Times New Roman" w:cs="Times New Roman" w:hint="eastAsia"/>
          <w:sz w:val="18"/>
          <w:szCs w:val="18"/>
        </w:rPr>
        <w:t>金金额为基础的利息的支付。</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初始确认后，对于该类金融资产采用实际利率法以摊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计量且不属于任何套</w:t>
      </w:r>
      <w:proofErr w:type="gramStart"/>
      <w:r>
        <w:rPr>
          <w:rFonts w:ascii="Times New Roman" w:hAnsi="Times New Roman" w:cs="Times New Roman" w:hint="eastAsia"/>
          <w:sz w:val="18"/>
          <w:szCs w:val="18"/>
        </w:rPr>
        <w:t>期关系</w:t>
      </w:r>
      <w:proofErr w:type="gramEnd"/>
      <w:r>
        <w:rPr>
          <w:rFonts w:ascii="Times New Roman" w:hAnsi="Times New Roman" w:cs="Times New Roman" w:hint="eastAsia"/>
          <w:sz w:val="18"/>
          <w:szCs w:val="18"/>
        </w:rPr>
        <w:t>的一部分的金融资产所产生的利得或损失，在终止确认、按照实际利率法摊销或确认减值时，计入当期损益。</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以公允价值计量且其变动计入其他综合收益的金融资产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本公司将同时符合下列条件且未被指定为以公允价值计量且其变动计入当期损益的金融资产，分类为以公允价值计量且其变动计入其他综合收益的金融资产：</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本公司管理该金融资产的业务模式既以收取合同现金流量为目标又以出售该金融资产为目标；</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该金融资产的合同条款规定，在特定日期产生的现金流量，仅为对本金和以</w:t>
      </w:r>
      <w:proofErr w:type="gramStart"/>
      <w:r>
        <w:rPr>
          <w:rFonts w:ascii="Times New Roman" w:hAnsi="Times New Roman" w:cs="Times New Roman" w:hint="eastAsia"/>
          <w:sz w:val="18"/>
          <w:szCs w:val="18"/>
        </w:rPr>
        <w:t>未偿付本</w:t>
      </w:r>
      <w:proofErr w:type="gramEnd"/>
      <w:r>
        <w:rPr>
          <w:rFonts w:ascii="Times New Roman" w:hAnsi="Times New Roman" w:cs="Times New Roman" w:hint="eastAsia"/>
          <w:sz w:val="18"/>
          <w:szCs w:val="18"/>
        </w:rPr>
        <w:t>金金额为基础的利息的支付。</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初始确认后，对于该类金融资产以公允价值进行后续计量。采用实际利率法计算的利息、减值损失或利得及汇兑损</w:t>
      </w:r>
      <w:r>
        <w:rPr>
          <w:rFonts w:ascii="Times New Roman" w:hAnsi="Times New Roman" w:cs="Times New Roman" w:hint="eastAsia"/>
          <w:sz w:val="18"/>
          <w:szCs w:val="18"/>
        </w:rPr>
        <w:lastRenderedPageBreak/>
        <w:t>益计入当期损益，其他利得或损失计入其他综合收益。终止确认时，将之前计入其他综合收益的累计利得或损失从其他综合收益中转出，计入当期损益。</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以公允价值计量且其变动计入当期损益的金融资产</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除上述以摊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和以公允价值计量且其变动计入其他综合收益的金融资产外，本公司将其余所有的金融资产分类为以公允价值计量且其变动计入当期损益的金融资产。在初始确认时，为消除或显著减少会计错配，本公司将部分本应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计量或以公允价值计量且其变动计入其他综合收益的金融资产不可撤销地指定为以公允价值计量且其变动计入当期损益的金融资产。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初始确认后，对于该类金融资产以公允价值进行后续计量，产生的利得或损失（包括利息和股利收入）计入当期损益，除非该金融资产属于套</w:t>
      </w:r>
      <w:proofErr w:type="gramStart"/>
      <w:r>
        <w:rPr>
          <w:rFonts w:ascii="Times New Roman" w:hAnsi="Times New Roman" w:cs="Times New Roman" w:hint="eastAsia"/>
          <w:sz w:val="18"/>
          <w:szCs w:val="18"/>
        </w:rPr>
        <w:t>期关系</w:t>
      </w:r>
      <w:proofErr w:type="gramEnd"/>
      <w:r>
        <w:rPr>
          <w:rFonts w:ascii="Times New Roman" w:hAnsi="Times New Roman" w:cs="Times New Roman" w:hint="eastAsia"/>
          <w:sz w:val="18"/>
          <w:szCs w:val="18"/>
        </w:rPr>
        <w:t>的一部分。</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管理金融资产的业务模式，是指本公司如何管理金融资产以产生现金流量。业务模式决定本公司所管理金融资产现金流量的来源是收取合同现金流量、出售金融资产还是两者兼有。本公司以客观事实为依据、以关键管理人员决定的对金融资产进行管理的特定业务目标为基础，确定管理金融资产的业务模式。</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本公司对金融资产的合同现金流量特征进行评估，以确定相关金融资产在特定日期产生的合同现金流量是否仅为对本金和以</w:t>
      </w:r>
      <w:proofErr w:type="gramStart"/>
      <w:r>
        <w:rPr>
          <w:rFonts w:ascii="Times New Roman" w:hAnsi="Times New Roman" w:cs="Times New Roman" w:hint="eastAsia"/>
          <w:sz w:val="18"/>
          <w:szCs w:val="18"/>
        </w:rPr>
        <w:t>未偿付本</w:t>
      </w:r>
      <w:proofErr w:type="gramEnd"/>
      <w:r>
        <w:rPr>
          <w:rFonts w:ascii="Times New Roman" w:hAnsi="Times New Roman" w:cs="Times New Roman" w:hint="eastAsia"/>
          <w:sz w:val="18"/>
          <w:szCs w:val="18"/>
        </w:rPr>
        <w:t>金金额为基础的利息的支付。其中，本金是指金融资产在初始确认时的公允价值；利息包括对货币时间价值、与特定时期</w:t>
      </w:r>
      <w:proofErr w:type="gramStart"/>
      <w:r>
        <w:rPr>
          <w:rFonts w:ascii="Times New Roman" w:hAnsi="Times New Roman" w:cs="Times New Roman" w:hint="eastAsia"/>
          <w:sz w:val="18"/>
          <w:szCs w:val="18"/>
        </w:rPr>
        <w:t>未偿付本</w:t>
      </w:r>
      <w:proofErr w:type="gramEnd"/>
      <w:r>
        <w:rPr>
          <w:rFonts w:ascii="Times New Roman" w:hAnsi="Times New Roman" w:cs="Times New Roman" w:hint="eastAsia"/>
          <w:sz w:val="18"/>
          <w:szCs w:val="18"/>
        </w:rPr>
        <w:t>金金额相关的信用风险、以及其他基本借贷风险、成本和利润的对价。此外，本公司对可能导致金融资产合同现金流量的时间分布或金额发生变更的合同条款进行评估，以确定其是否满足上述合同现金流量特征的要求。</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仅在本公司改变管理金融资产的业务模式时，所有受影响的相关金融资产在业务模式发生变更后的首个报告期间的第一天进行重分类，否则金融资产在初始确认后不得进行重分类。</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）金融负债分类和计量</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本公司的金融负债于初始确认时分类为：以公允价值计量且其变动计入当期损益的金融负债、以摊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计量的金融负债。对于未划分为以公允价值计量且其变动计入当期损益的金融负债的，相关交易费用计入其初始确认金额。</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以公允价值计量且其变动计入当期损益的金融负债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且其变动计入当期损益的金融负债，包括交易性金融负债和初始确认时指定为以公允价值计量且其变动计入当期损益的金融负债。对于此类金融负债，按照公允价值进行后续计量，公允价值变动形成的利得或损失以及与该等金融负债相关的股利和利息支出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其他金融负债采用实际利率法，</w:t>
      </w:r>
      <w:proofErr w:type="gramStart"/>
      <w:r>
        <w:rPr>
          <w:rFonts w:ascii="Times New Roman" w:hAnsi="Times New Roman" w:cs="Times New Roman" w:hint="eastAsia"/>
          <w:sz w:val="18"/>
          <w:szCs w:val="18"/>
        </w:rPr>
        <w:t>按摊余成本</w:t>
      </w:r>
      <w:proofErr w:type="gramEnd"/>
      <w:r>
        <w:rPr>
          <w:rFonts w:ascii="Times New Roman" w:hAnsi="Times New Roman" w:cs="Times New Roman" w:hint="eastAsia"/>
          <w:sz w:val="18"/>
          <w:szCs w:val="18"/>
        </w:rPr>
        <w:t>进行后续计量，终止确认或摊销产生的利得或损失计入当期损益。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金融负债与权益工具的区分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金融负债，是指符合下列条件之一的负债：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①向其他方交付现金或其他金融资产的合同义务。</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②在潜在不利条件下，与其他方交换金融资产或金融负债的合同义务。</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③将来须用或可用企业自身权益工具进行结算的非衍生工具合同，且企业根据该合同将交付可变数量的自身权益工具。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④将来须用或可用企业自身权益工具进行结算的衍生工具合同，但以固定数量的自身权益工具交换固定金额的现金或其他金融资产的衍生工具合同除外。</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权益工具，是指能证明拥有某个企业在扣除所有负债后的资产中剩余权益的合同。</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如果本公司不能无条件地避免以交付现金或其他金融资产来履行一项合同义务，则该合同义务符合金融负债的定义。</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如果一项金融工具须用或可用本公司自身权益工具进行结算，需要考虑用于结算该工具的本公司自身权益工具，是作为现金或其他金融资产的替代品，还是为了使该工具持有方享有在发行方扣除所有负债后的资产中的剩余权益。如果是前者，该工具是本公司的金融负债；如果是后者，该工具是本公司的权益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）金融工具的公允价值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金融资产和金融负债的公允价值确定方法见附注五、</w:t>
      </w:r>
      <w:r>
        <w:rPr>
          <w:rFonts w:ascii="Times New Roman" w:hAnsi="Times New Roman" w:cs="Times New Roman" w:hint="eastAsia"/>
          <w:sz w:val="18"/>
          <w:szCs w:val="18"/>
        </w:rPr>
        <w:t>12</w:t>
      </w:r>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5</w:t>
      </w:r>
      <w:r>
        <w:rPr>
          <w:rFonts w:ascii="Times New Roman" w:hAnsi="Times New Roman" w:cs="Times New Roman" w:hint="eastAsia"/>
          <w:sz w:val="18"/>
          <w:szCs w:val="18"/>
        </w:rPr>
        <w:t>）金融资产减值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lastRenderedPageBreak/>
        <w:t>本公司以预期信用损失为基础，对下列项目进行减值会计处理并确认损失准备：</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以公允价值计量且其变动计入其他综合收益的应收款项和债务工具投资；</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《企业会计准则第</w:t>
      </w:r>
      <w:r>
        <w:rPr>
          <w:rFonts w:ascii="Times New Roman" w:hAnsi="Times New Roman" w:cs="Times New Roman" w:hint="eastAsia"/>
          <w:sz w:val="18"/>
          <w:szCs w:val="18"/>
        </w:rPr>
        <w:t>14</w:t>
      </w:r>
      <w:r>
        <w:rPr>
          <w:rFonts w:ascii="Times New Roman" w:hAnsi="Times New Roman" w:cs="Times New Roman" w:hint="eastAsia"/>
          <w:sz w:val="18"/>
          <w:szCs w:val="18"/>
        </w:rPr>
        <w:t>号——收入》定义的合同资产；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租赁应收款；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财务担保合同（以公允价值计量且其变动计入当期损益、金融资产转移不符合终止确认条件或继续涉入被转移金融资产所形成的除外）。</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预期信用损失的计量</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预期信用损失，是指以发生违约的风险为权重的金融工具信用损失的加权平均值。信用损失，是指本公司按照</w:t>
      </w:r>
      <w:proofErr w:type="gramStart"/>
      <w:r>
        <w:rPr>
          <w:rFonts w:ascii="Times New Roman" w:hAnsi="Times New Roman" w:cs="Times New Roman" w:hint="eastAsia"/>
          <w:sz w:val="18"/>
          <w:szCs w:val="18"/>
        </w:rPr>
        <w:t>原实际</w:t>
      </w:r>
      <w:proofErr w:type="gramEnd"/>
      <w:r>
        <w:rPr>
          <w:rFonts w:ascii="Times New Roman" w:hAnsi="Times New Roman" w:cs="Times New Roman" w:hint="eastAsia"/>
          <w:sz w:val="18"/>
          <w:szCs w:val="18"/>
        </w:rPr>
        <w:t>利率折现的、根据合同应收的所有合同现金流量与预期收取的所有现金流量之间的差额，即全部现金短缺的现值。</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考虑有关过去事项、当前状况以及对未来经济状况的预测等合理且有依据的信息，以发生违约的风险为权重，计算合同应收的现金流量与预期能收到的现金流量之间差额的现值的概率加权金额，确认预期信用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本公司对于处于不同阶段的金融工具的预期信用损失分别进行计量。金融工具自初始确认后信用风险未显著增加的，处于第一阶段，本公司按照未来</w:t>
      </w:r>
      <w:r>
        <w:rPr>
          <w:rFonts w:ascii="Times New Roman" w:hAnsi="Times New Roman" w:cs="Times New Roman" w:hint="eastAsia"/>
          <w:sz w:val="18"/>
          <w:szCs w:val="18"/>
        </w:rPr>
        <w:t>12</w:t>
      </w:r>
      <w:r>
        <w:rPr>
          <w:rFonts w:ascii="Times New Roman" w:hAnsi="Times New Roman" w:cs="Times New Roman" w:hint="eastAsia"/>
          <w:sz w:val="18"/>
          <w:szCs w:val="18"/>
        </w:rPr>
        <w:t>个月内的预期信用损失计量损失准备；金融工具自初始确认后信用风险已显著增加但尚未发生信用减值的，处于第二阶段，本公司按照该工具整个存续期的预期信用损失计量损失准备；金融工具自初始确认后已经发生信用减值的，处于第三阶段，本公司按照该工具整个存续期的预期信用损失计量损失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对于在资产负债表</w:t>
      </w:r>
      <w:proofErr w:type="gramStart"/>
      <w:r>
        <w:rPr>
          <w:rFonts w:ascii="Times New Roman" w:hAnsi="Times New Roman" w:cs="Times New Roman" w:hint="eastAsia"/>
          <w:sz w:val="18"/>
          <w:szCs w:val="18"/>
        </w:rPr>
        <w:t>日具有</w:t>
      </w:r>
      <w:proofErr w:type="gramEnd"/>
      <w:r>
        <w:rPr>
          <w:rFonts w:ascii="Times New Roman" w:hAnsi="Times New Roman" w:cs="Times New Roman" w:hint="eastAsia"/>
          <w:sz w:val="18"/>
          <w:szCs w:val="18"/>
        </w:rPr>
        <w:t>较低信用风险的金融工具，本公司假设其信用风险自初始确认后并未显著增加，按照未来</w:t>
      </w:r>
      <w:r>
        <w:rPr>
          <w:rFonts w:ascii="Times New Roman" w:hAnsi="Times New Roman" w:cs="Times New Roman" w:hint="eastAsia"/>
          <w:sz w:val="18"/>
          <w:szCs w:val="18"/>
        </w:rPr>
        <w:t>12</w:t>
      </w:r>
      <w:r>
        <w:rPr>
          <w:rFonts w:ascii="Times New Roman" w:hAnsi="Times New Roman" w:cs="Times New Roman" w:hint="eastAsia"/>
          <w:sz w:val="18"/>
          <w:szCs w:val="18"/>
        </w:rPr>
        <w:t>个月内的预期信用损失计量损失准备。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整个存续期预期信用损失，是指因金融工具整个预计存续期内所有可能发生的违约事件而导致的预期信用损失。未来</w:t>
      </w:r>
      <w:r>
        <w:rPr>
          <w:rFonts w:ascii="Times New Roman" w:hAnsi="Times New Roman" w:cs="Times New Roman" w:hint="eastAsia"/>
          <w:sz w:val="18"/>
          <w:szCs w:val="18"/>
        </w:rPr>
        <w:t>12</w:t>
      </w:r>
      <w:r>
        <w:rPr>
          <w:rFonts w:ascii="Times New Roman" w:hAnsi="Times New Roman" w:cs="Times New Roman" w:hint="eastAsia"/>
          <w:sz w:val="18"/>
          <w:szCs w:val="18"/>
        </w:rPr>
        <w:t>个月内预期信用损失，是指因资产负债表日后</w:t>
      </w:r>
      <w:r>
        <w:rPr>
          <w:rFonts w:ascii="Times New Roman" w:hAnsi="Times New Roman" w:cs="Times New Roman" w:hint="eastAsia"/>
          <w:sz w:val="18"/>
          <w:szCs w:val="18"/>
        </w:rPr>
        <w:t>12</w:t>
      </w:r>
      <w:r>
        <w:rPr>
          <w:rFonts w:ascii="Times New Roman" w:hAnsi="Times New Roman" w:cs="Times New Roman" w:hint="eastAsia"/>
          <w:sz w:val="18"/>
          <w:szCs w:val="18"/>
        </w:rPr>
        <w:t>个月内（若金融工具的预计存续期少于</w:t>
      </w:r>
      <w:r>
        <w:rPr>
          <w:rFonts w:ascii="Times New Roman" w:hAnsi="Times New Roman" w:cs="Times New Roman" w:hint="eastAsia"/>
          <w:sz w:val="18"/>
          <w:szCs w:val="18"/>
        </w:rPr>
        <w:t>12</w:t>
      </w:r>
      <w:r>
        <w:rPr>
          <w:rFonts w:ascii="Times New Roman" w:hAnsi="Times New Roman" w:cs="Times New Roman" w:hint="eastAsia"/>
          <w:sz w:val="18"/>
          <w:szCs w:val="18"/>
        </w:rPr>
        <w:t>个月，则为预计存续期）可能发生的金融工具违约事件而导致的预期信用损失，是整个存续期预期信用损失的一部分。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在计量预期信用损失时，本公司需考虑的最长期限为企业面临信用风险的最长合同期限（包括考虑续约选择权）。</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本公司对于处于第一阶段和第二阶段、以及较低信用风险的金融工具，按照其未扣除减值准备的账面余额和实际利率计算利息收入。对于处于第三阶段的金融工具，按照其账面</w:t>
      </w:r>
      <w:proofErr w:type="gramStart"/>
      <w:r>
        <w:rPr>
          <w:rFonts w:ascii="Times New Roman" w:hAnsi="Times New Roman" w:cs="Times New Roman" w:hint="eastAsia"/>
          <w:sz w:val="18"/>
          <w:szCs w:val="18"/>
        </w:rPr>
        <w:t>余额减已计提</w:t>
      </w:r>
      <w:proofErr w:type="gramEnd"/>
      <w:r>
        <w:rPr>
          <w:rFonts w:ascii="Times New Roman" w:hAnsi="Times New Roman" w:cs="Times New Roman" w:hint="eastAsia"/>
          <w:sz w:val="18"/>
          <w:szCs w:val="18"/>
        </w:rPr>
        <w:t>减值准备后的摊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和实际利率计算利息收入。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应收票据、应收账款、应收款项融资、其他应收款等应收款项，若某一客户信用风险特征与组合中其他客户显著不同，或该客户信用风险特征发生显著变化，本公司对该应收款项单项计提坏账准备。除单项计提坏账准备的应收款项之外，本公司依据信用风险特征对应收款项划分组合，在组合基础上计算坏账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应收票据和应收账款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对于应收票据、应收账款、合同资产，无论是否存在重大融资成分，本公司始终按照相当于整个存续期内预期信用损失的金额计量其损失准备。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当单项金融资产或合同资产无法以合理成本评估预期信用损失的信息时，本公司依据信用风险特征对应收票据、应收账款和合同资产划分组合，在组合基础上计算预期信用损失，确定组合的依据如下：</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A</w:t>
      </w:r>
      <w:r>
        <w:rPr>
          <w:rFonts w:ascii="Times New Roman" w:hAnsi="Times New Roman" w:cs="Times New Roman" w:hint="eastAsia"/>
          <w:sz w:val="18"/>
          <w:szCs w:val="18"/>
        </w:rPr>
        <w:t>、应收票据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应收票据组合</w:t>
      </w:r>
      <w:r>
        <w:rPr>
          <w:rFonts w:ascii="Times New Roman" w:hAnsi="Times New Roman" w:cs="Times New Roman" w:hint="eastAsia"/>
          <w:sz w:val="18"/>
          <w:szCs w:val="18"/>
        </w:rPr>
        <w:t>1</w:t>
      </w:r>
      <w:r>
        <w:rPr>
          <w:rFonts w:ascii="Times New Roman" w:hAnsi="Times New Roman" w:cs="Times New Roman" w:hint="eastAsia"/>
          <w:sz w:val="18"/>
          <w:szCs w:val="18"/>
        </w:rPr>
        <w:t>：银行承兑汇票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应收票据组合</w:t>
      </w:r>
      <w:r>
        <w:rPr>
          <w:rFonts w:ascii="Times New Roman" w:hAnsi="Times New Roman" w:cs="Times New Roman" w:hint="eastAsia"/>
          <w:sz w:val="18"/>
          <w:szCs w:val="18"/>
        </w:rPr>
        <w:t>2</w:t>
      </w:r>
      <w:r>
        <w:rPr>
          <w:rFonts w:ascii="Times New Roman" w:hAnsi="Times New Roman" w:cs="Times New Roman" w:hint="eastAsia"/>
          <w:sz w:val="18"/>
          <w:szCs w:val="18"/>
        </w:rPr>
        <w:t>：商业承兑汇票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B</w:t>
      </w:r>
      <w:r>
        <w:rPr>
          <w:rFonts w:ascii="Times New Roman" w:hAnsi="Times New Roman" w:cs="Times New Roman" w:hint="eastAsia"/>
          <w:sz w:val="18"/>
          <w:szCs w:val="18"/>
        </w:rPr>
        <w:t>、应收账款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应收账款组合</w:t>
      </w:r>
      <w:r>
        <w:rPr>
          <w:rFonts w:ascii="Times New Roman" w:hAnsi="Times New Roman" w:cs="Times New Roman" w:hint="eastAsia"/>
          <w:sz w:val="18"/>
          <w:szCs w:val="18"/>
        </w:rPr>
        <w:t>1</w:t>
      </w:r>
      <w:r>
        <w:rPr>
          <w:rFonts w:ascii="Times New Roman" w:hAnsi="Times New Roman" w:cs="Times New Roman" w:hint="eastAsia"/>
          <w:sz w:val="18"/>
          <w:szCs w:val="18"/>
        </w:rPr>
        <w:t>：应收关联方客户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应收账款组合</w:t>
      </w:r>
      <w:r>
        <w:rPr>
          <w:rFonts w:ascii="Times New Roman" w:hAnsi="Times New Roman" w:cs="Times New Roman" w:hint="eastAsia"/>
          <w:sz w:val="18"/>
          <w:szCs w:val="18"/>
        </w:rPr>
        <w:t>2</w:t>
      </w:r>
      <w:r>
        <w:rPr>
          <w:rFonts w:ascii="Times New Roman" w:hAnsi="Times New Roman" w:cs="Times New Roman" w:hint="eastAsia"/>
          <w:sz w:val="18"/>
          <w:szCs w:val="18"/>
        </w:rPr>
        <w:t>：</w:t>
      </w:r>
      <w:proofErr w:type="gramStart"/>
      <w:r>
        <w:rPr>
          <w:rFonts w:ascii="Times New Roman" w:hAnsi="Times New Roman" w:cs="Times New Roman" w:hint="eastAsia"/>
          <w:sz w:val="18"/>
          <w:szCs w:val="18"/>
        </w:rPr>
        <w:t>应收非</w:t>
      </w:r>
      <w:proofErr w:type="gramEnd"/>
      <w:r>
        <w:rPr>
          <w:rFonts w:ascii="Times New Roman" w:hAnsi="Times New Roman" w:cs="Times New Roman" w:hint="eastAsia"/>
          <w:sz w:val="18"/>
          <w:szCs w:val="18"/>
        </w:rPr>
        <w:t>关联方客户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应收账款组合</w:t>
      </w:r>
      <w:r>
        <w:rPr>
          <w:rFonts w:ascii="Times New Roman" w:hAnsi="Times New Roman" w:cs="Times New Roman" w:hint="eastAsia"/>
          <w:sz w:val="18"/>
          <w:szCs w:val="18"/>
        </w:rPr>
        <w:t>3</w:t>
      </w:r>
      <w:r>
        <w:rPr>
          <w:rFonts w:ascii="Times New Roman" w:hAnsi="Times New Roman" w:cs="Times New Roman" w:hint="eastAsia"/>
          <w:sz w:val="18"/>
          <w:szCs w:val="18"/>
        </w:rPr>
        <w:t>：应收</w:t>
      </w:r>
      <w:proofErr w:type="gramStart"/>
      <w:r>
        <w:rPr>
          <w:rFonts w:ascii="Times New Roman" w:hAnsi="Times New Roman" w:cs="Times New Roman" w:hint="eastAsia"/>
          <w:sz w:val="18"/>
          <w:szCs w:val="18"/>
        </w:rPr>
        <w:t>保理款</w:t>
      </w:r>
      <w:proofErr w:type="gramEnd"/>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对于划分为组合的应收票据，本公司参考历史信用损失经验，结合当前状况以及对未来经济状况的预测，通过违约风险敞口和整个存续期预期信用损失率，计算预期信用损失。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对于划分为组合的应收账款，本公司参考历史信用损失经验，结合当前状况以及对未来经济状况的预测，编制应收账款账龄与整个存续期预期信用损失率对照表，计算预期信用损失。应收账款的账</w:t>
      </w:r>
      <w:proofErr w:type="gramStart"/>
      <w:r>
        <w:rPr>
          <w:rFonts w:ascii="Times New Roman" w:hAnsi="Times New Roman" w:cs="Times New Roman" w:hint="eastAsia"/>
          <w:sz w:val="18"/>
          <w:szCs w:val="18"/>
        </w:rPr>
        <w:t>龄自确认</w:t>
      </w:r>
      <w:proofErr w:type="gramEnd"/>
      <w:r>
        <w:rPr>
          <w:rFonts w:ascii="Times New Roman" w:hAnsi="Times New Roman" w:cs="Times New Roman" w:hint="eastAsia"/>
          <w:sz w:val="18"/>
          <w:szCs w:val="18"/>
        </w:rPr>
        <w:t>之日起计算。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lastRenderedPageBreak/>
        <w:t>其他应收款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本公司依据信用风险特征将其他应收款划分为若干组合，在组合基础上计算预期信用损失，确定组合的依据如下：</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其他应收款组合</w:t>
      </w:r>
      <w:r>
        <w:rPr>
          <w:rFonts w:ascii="Times New Roman" w:hAnsi="Times New Roman" w:cs="Times New Roman" w:hint="eastAsia"/>
          <w:sz w:val="18"/>
          <w:szCs w:val="18"/>
        </w:rPr>
        <w:t>1</w:t>
      </w:r>
      <w:r>
        <w:rPr>
          <w:rFonts w:ascii="Times New Roman" w:hAnsi="Times New Roman" w:cs="Times New Roman" w:hint="eastAsia"/>
          <w:sz w:val="18"/>
          <w:szCs w:val="18"/>
        </w:rPr>
        <w:t>：应收政府机关款项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其他应收款组合</w:t>
      </w:r>
      <w:r>
        <w:rPr>
          <w:rFonts w:ascii="Times New Roman" w:hAnsi="Times New Roman" w:cs="Times New Roman" w:hint="eastAsia"/>
          <w:sz w:val="18"/>
          <w:szCs w:val="18"/>
        </w:rPr>
        <w:t>1</w:t>
      </w:r>
      <w:r>
        <w:rPr>
          <w:rFonts w:ascii="Times New Roman" w:hAnsi="Times New Roman" w:cs="Times New Roman" w:hint="eastAsia"/>
          <w:sz w:val="18"/>
          <w:szCs w:val="18"/>
        </w:rPr>
        <w:t>：应收关联方款项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其他应收款组合</w:t>
      </w:r>
      <w:r>
        <w:rPr>
          <w:rFonts w:ascii="Times New Roman" w:hAnsi="Times New Roman" w:cs="Times New Roman" w:hint="eastAsia"/>
          <w:sz w:val="18"/>
          <w:szCs w:val="18"/>
        </w:rPr>
        <w:t>3</w:t>
      </w:r>
      <w:r>
        <w:rPr>
          <w:rFonts w:ascii="Times New Roman" w:hAnsi="Times New Roman" w:cs="Times New Roman" w:hint="eastAsia"/>
          <w:sz w:val="18"/>
          <w:szCs w:val="18"/>
        </w:rPr>
        <w:t>：应收其他款项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对划分为组合的其他应收款，本公司通过违约风险敞口和未来</w:t>
      </w:r>
      <w:r>
        <w:rPr>
          <w:rFonts w:ascii="Times New Roman" w:hAnsi="Times New Roman" w:cs="Times New Roman" w:hint="eastAsia"/>
          <w:sz w:val="18"/>
          <w:szCs w:val="18"/>
        </w:rPr>
        <w:t>12</w:t>
      </w:r>
      <w:r>
        <w:rPr>
          <w:rFonts w:ascii="Times New Roman" w:hAnsi="Times New Roman" w:cs="Times New Roman" w:hint="eastAsia"/>
          <w:sz w:val="18"/>
          <w:szCs w:val="18"/>
        </w:rPr>
        <w:t>个月内或整个存续期预期信用损失率，计算预期信用损失。</w:t>
      </w:r>
      <w:proofErr w:type="gramStart"/>
      <w:r>
        <w:rPr>
          <w:rFonts w:ascii="Times New Roman" w:hAnsi="Times New Roman" w:cs="Times New Roman" w:hint="eastAsia"/>
          <w:sz w:val="18"/>
          <w:szCs w:val="18"/>
        </w:rPr>
        <w:t>对于按账龄</w:t>
      </w:r>
      <w:proofErr w:type="gramEnd"/>
      <w:r>
        <w:rPr>
          <w:rFonts w:ascii="Times New Roman" w:hAnsi="Times New Roman" w:cs="Times New Roman" w:hint="eastAsia"/>
          <w:sz w:val="18"/>
          <w:szCs w:val="18"/>
        </w:rPr>
        <w:t>划分组合的其他应收款，账</w:t>
      </w:r>
      <w:proofErr w:type="gramStart"/>
      <w:r>
        <w:rPr>
          <w:rFonts w:ascii="Times New Roman" w:hAnsi="Times New Roman" w:cs="Times New Roman" w:hint="eastAsia"/>
          <w:sz w:val="18"/>
          <w:szCs w:val="18"/>
        </w:rPr>
        <w:t>龄自确认</w:t>
      </w:r>
      <w:proofErr w:type="gramEnd"/>
      <w:r>
        <w:rPr>
          <w:rFonts w:ascii="Times New Roman" w:hAnsi="Times New Roman" w:cs="Times New Roman" w:hint="eastAsia"/>
          <w:sz w:val="18"/>
          <w:szCs w:val="18"/>
        </w:rPr>
        <w:t>之日起计算。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长期应收款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本公司的长期应收款包括应收融资租赁款、应收保证金等款项。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本公司依据信用风险特征将应收融资租赁款、应收保证金划分为若干组合，在组合基础上计算预期信用损失，确定组合的依据如下：</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A</w:t>
      </w:r>
      <w:r>
        <w:rPr>
          <w:rFonts w:ascii="Times New Roman" w:hAnsi="Times New Roman" w:cs="Times New Roman" w:hint="eastAsia"/>
          <w:sz w:val="18"/>
          <w:szCs w:val="18"/>
        </w:rPr>
        <w:t>、应收融资租赁款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融资租赁款组合</w:t>
      </w:r>
      <w:r>
        <w:rPr>
          <w:rFonts w:ascii="Times New Roman" w:hAnsi="Times New Roman" w:cs="Times New Roman" w:hint="eastAsia"/>
          <w:sz w:val="18"/>
          <w:szCs w:val="18"/>
        </w:rPr>
        <w:t>1</w:t>
      </w:r>
      <w:r>
        <w:rPr>
          <w:rFonts w:ascii="Times New Roman" w:hAnsi="Times New Roman" w:cs="Times New Roman" w:hint="eastAsia"/>
          <w:sz w:val="18"/>
          <w:szCs w:val="18"/>
        </w:rPr>
        <w:t>：应收未逾期客户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融资租赁款组合</w:t>
      </w:r>
      <w:r>
        <w:rPr>
          <w:rFonts w:ascii="Times New Roman" w:hAnsi="Times New Roman" w:cs="Times New Roman" w:hint="eastAsia"/>
          <w:sz w:val="18"/>
          <w:szCs w:val="18"/>
        </w:rPr>
        <w:t>2</w:t>
      </w:r>
      <w:r>
        <w:rPr>
          <w:rFonts w:ascii="Times New Roman" w:hAnsi="Times New Roman" w:cs="Times New Roman" w:hint="eastAsia"/>
          <w:sz w:val="18"/>
          <w:szCs w:val="18"/>
        </w:rPr>
        <w:t>：应收逾期客户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B</w:t>
      </w:r>
      <w:r>
        <w:rPr>
          <w:rFonts w:ascii="Times New Roman" w:hAnsi="Times New Roman" w:cs="Times New Roman" w:hint="eastAsia"/>
          <w:sz w:val="18"/>
          <w:szCs w:val="18"/>
        </w:rPr>
        <w:t>、其他长期应收款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其他长期应收款组合</w:t>
      </w:r>
      <w:r>
        <w:rPr>
          <w:rFonts w:ascii="Times New Roman" w:hAnsi="Times New Roman" w:cs="Times New Roman" w:hint="eastAsia"/>
          <w:sz w:val="18"/>
          <w:szCs w:val="18"/>
        </w:rPr>
        <w:t>1</w:t>
      </w:r>
      <w:r>
        <w:rPr>
          <w:rFonts w:ascii="Times New Roman" w:hAnsi="Times New Roman" w:cs="Times New Roman" w:hint="eastAsia"/>
          <w:sz w:val="18"/>
          <w:szCs w:val="18"/>
        </w:rPr>
        <w:t>：应收保证金</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其他长期应收款组合</w:t>
      </w:r>
      <w:r>
        <w:rPr>
          <w:rFonts w:ascii="Times New Roman" w:hAnsi="Times New Roman" w:cs="Times New Roman" w:hint="eastAsia"/>
          <w:sz w:val="18"/>
          <w:szCs w:val="18"/>
        </w:rPr>
        <w:t>2</w:t>
      </w:r>
      <w:r>
        <w:rPr>
          <w:rFonts w:ascii="Times New Roman" w:hAnsi="Times New Roman" w:cs="Times New Roman" w:hint="eastAsia"/>
          <w:sz w:val="18"/>
          <w:szCs w:val="18"/>
        </w:rPr>
        <w:t>：应收其他款项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对于应收融资租赁款、应收保证金，本公司参考历史信用损失经验，结合当前状况以及对未来经济状况的预测，通过违约风险敞口和整个存续期预期信用损失率，计算预期信用损失。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除应收融资租赁款、应收保证金之外的划分为组合的其他应收款和长期应收款，通过违约风险敞口和未来</w:t>
      </w:r>
      <w:r>
        <w:rPr>
          <w:rFonts w:ascii="Times New Roman" w:hAnsi="Times New Roman" w:cs="Times New Roman" w:hint="eastAsia"/>
          <w:sz w:val="18"/>
          <w:szCs w:val="18"/>
        </w:rPr>
        <w:t>12</w:t>
      </w:r>
      <w:r>
        <w:rPr>
          <w:rFonts w:ascii="Times New Roman" w:hAnsi="Times New Roman" w:cs="Times New Roman" w:hint="eastAsia"/>
          <w:sz w:val="18"/>
          <w:szCs w:val="18"/>
        </w:rPr>
        <w:t>个月内或整个存续期预期信用损失率，计算预期信用损失。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债权投资、其他债权投资</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对于债权投资和其他债权投资，本公司按照投资的性质，根据交易对手和风险敞口的各种类型，通过违约风险敞口和未来</w:t>
      </w:r>
      <w:r>
        <w:rPr>
          <w:rFonts w:ascii="Times New Roman" w:hAnsi="Times New Roman" w:cs="Times New Roman" w:hint="eastAsia"/>
          <w:sz w:val="18"/>
          <w:szCs w:val="18"/>
        </w:rPr>
        <w:t>12</w:t>
      </w:r>
      <w:r>
        <w:rPr>
          <w:rFonts w:ascii="Times New Roman" w:hAnsi="Times New Roman" w:cs="Times New Roman" w:hint="eastAsia"/>
          <w:sz w:val="18"/>
          <w:szCs w:val="18"/>
        </w:rPr>
        <w:t>个月内或整个存续期预期信用损失率，计算预期信用损失。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信用风险显著增加的评估</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本公司通过比较金融工具在资产负债表日发生违约的风险与在初始确认日发生违约的风险，以确定金融工具预计存续期内发生违约风险的相对变化，以评估金融工具的信用风险自初始确认后是否已显著增加。</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在确定信用风险自初始确认后是否显著增加时，本公司考虑无须付出不必要的额外成本或努力即可获得的合理且有依据的信息，包括前瞻性信息。本公司考虑的信息包括：</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债务人未能按合同到期日支付本金和利息的情况；</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已发生的或预期的金融工具的外部或内部信用评级（如有）的严重恶化；</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已发生的或预期的债务人经营成果的严重恶化；</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现存的或预期的技术、市场、经济或法律环境变化，并将对债务人对本公司的还款能力产生重大不利影响。</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根据金融工具的性质，本公司以单项金融工具或金融工具组合为基础评估信用风险是否显著增加。以金融工具组合为基础进行评估时，本公司可基于共同信用风险特征对金融工具进行分类，例如逾期信息和信用风险评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如果逾期超过</w:t>
      </w:r>
      <w:r>
        <w:rPr>
          <w:rFonts w:ascii="Times New Roman" w:hAnsi="Times New Roman" w:cs="Times New Roman" w:hint="eastAsia"/>
          <w:sz w:val="18"/>
          <w:szCs w:val="18"/>
        </w:rPr>
        <w:t>30</w:t>
      </w:r>
      <w:r>
        <w:rPr>
          <w:rFonts w:ascii="Times New Roman" w:hAnsi="Times New Roman" w:cs="Times New Roman" w:hint="eastAsia"/>
          <w:sz w:val="18"/>
          <w:szCs w:val="18"/>
        </w:rPr>
        <w:t>日，本公司确定金融工具的信用风险已经显著增加。</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已发生信用减值的金融资产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本公司在资产负债表日评估以摊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和以公允价值计量且其变动计入其他综合收益的债权投资是否已发生信用减值。当对金融资产预期未来现金流量具有不利影响的一项或多项事件发生时，该金融资产成为已发生信用减值的金融资产。金融资产已发生信用减值的证据包括下列可观察信息：</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发行方或债务人发生重大财务困难；</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债务人违反合同，如偿付利息或本金违约或逾期等；</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本公司出于与债务人财务困难有关的经济或合同考虑，给予债务人在任何其他情况下都不会做出的让步；</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债务人很可能破产或进行其他财务重组；</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lastRenderedPageBreak/>
        <w:t>发行方或债务人财务困难导致该金融资产的活跃市场消失。</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预期信用损失准备的列报</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为反映金融工具的信用风险自初始确认后的变化，本公司在每个资产负债表日重新计量预期信用损失，由此形成的损失准备的增加或转回金额，应当作为减值损失或利得计入当期损益。对于以摊</w:t>
      </w:r>
      <w:proofErr w:type="gramStart"/>
      <w:r>
        <w:rPr>
          <w:rFonts w:ascii="Times New Roman" w:hAnsi="Times New Roman" w:cs="Times New Roman" w:hint="eastAsia"/>
          <w:sz w:val="18"/>
          <w:szCs w:val="18"/>
        </w:rPr>
        <w:t>余成本</w:t>
      </w:r>
      <w:proofErr w:type="gramEnd"/>
      <w:r>
        <w:rPr>
          <w:rFonts w:ascii="Times New Roman" w:hAnsi="Times New Roman" w:cs="Times New Roman" w:hint="eastAsia"/>
          <w:sz w:val="18"/>
          <w:szCs w:val="18"/>
        </w:rPr>
        <w:t>计量的金融资产，损失准备抵减该金融资产在资产负债表中列示的账面价值；对于以公允价值计量且其变动计入其他综合收益的债权投资，本公司在其他综合收益中确认其损失准备，不抵减该金融资产的账面价值。</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核销</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如果本公司不再合理预期金融资产合同现金流量能够全部或部分收回，则直接</w:t>
      </w:r>
      <w:proofErr w:type="gramStart"/>
      <w:r>
        <w:rPr>
          <w:rFonts w:ascii="Times New Roman" w:hAnsi="Times New Roman" w:cs="Times New Roman" w:hint="eastAsia"/>
          <w:sz w:val="18"/>
          <w:szCs w:val="18"/>
        </w:rPr>
        <w:t>减记该</w:t>
      </w:r>
      <w:proofErr w:type="gramEnd"/>
      <w:r>
        <w:rPr>
          <w:rFonts w:ascii="Times New Roman" w:hAnsi="Times New Roman" w:cs="Times New Roman" w:hint="eastAsia"/>
          <w:sz w:val="18"/>
          <w:szCs w:val="18"/>
        </w:rPr>
        <w:t>金融资产的账面余额。这种</w:t>
      </w:r>
      <w:proofErr w:type="gramStart"/>
      <w:r>
        <w:rPr>
          <w:rFonts w:ascii="Times New Roman" w:hAnsi="Times New Roman" w:cs="Times New Roman" w:hint="eastAsia"/>
          <w:sz w:val="18"/>
          <w:szCs w:val="18"/>
        </w:rPr>
        <w:t>减记构成</w:t>
      </w:r>
      <w:proofErr w:type="gramEnd"/>
      <w:r>
        <w:rPr>
          <w:rFonts w:ascii="Times New Roman" w:hAnsi="Times New Roman" w:cs="Times New Roman" w:hint="eastAsia"/>
          <w:sz w:val="18"/>
          <w:szCs w:val="18"/>
        </w:rPr>
        <w:t>相关金融资产的终止确认。这种情况通常发生在本公司确定债务人没有资产或收入来源可产生足够的现金流量以偿还将被减记的金额。但是，按照本公司收回到期款项的程序，被减记的金融资产仍可能受到执行活动的影响。</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已减记的金融资产以后又收回的，作为减值损失的转回计入收回当期的损益。</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6</w:t>
      </w:r>
      <w:r>
        <w:rPr>
          <w:rFonts w:ascii="Times New Roman" w:hAnsi="Times New Roman" w:cs="Times New Roman" w:hint="eastAsia"/>
          <w:sz w:val="18"/>
          <w:szCs w:val="18"/>
        </w:rPr>
        <w:t>）金融资产转移</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金融资产转移，是指将金融资产让与或交付给该金融资产发行方以外的另一方（转入方）。</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本公司已将金融资产所有权上几乎所有的风险和报酬转移给转入方的，终止确认该金融资产；保留了金融资产所有权上几乎所有的风险和报酬的，不终止确认该金融资产。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既没有转移也没有保留金融资产所有权上几乎所有的风险和报酬的，分别下列情况处理：放弃了对该金融资产控制的，终止确认该金融资产并确认产生的资产和负债；未放弃对该金融资产控制的，按照其继续涉入所转移金融资产的程度确认有关金融资产，并相应确认有关负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7</w:t>
      </w:r>
      <w:r>
        <w:rPr>
          <w:rFonts w:ascii="Times New Roman" w:hAnsi="Times New Roman" w:cs="Times New Roman" w:hint="eastAsia"/>
          <w:sz w:val="18"/>
          <w:szCs w:val="18"/>
        </w:rPr>
        <w:t>）金融资产和金融负债的</w:t>
      </w:r>
      <w:proofErr w:type="gramStart"/>
      <w:r>
        <w:rPr>
          <w:rFonts w:ascii="Times New Roman" w:hAnsi="Times New Roman" w:cs="Times New Roman" w:hint="eastAsia"/>
          <w:sz w:val="18"/>
          <w:szCs w:val="18"/>
        </w:rPr>
        <w:t>抵销</w:t>
      </w:r>
      <w:proofErr w:type="gramEnd"/>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当本公司具有</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已确认金融资产和金融负债的法定权利，且目前可执行该种法定权利，同时本公司计划以净额结算或同时变现该金融资产和清偿该金融负债时，金融资产和金融负债以相互</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后的金额在资产负债表内列示。除此以外，金融资产和金融负债在资产负债表内分别列示，不予相互</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w:t>
      </w:r>
    </w:p>
    <w:p w:rsidR="00403CD6" w:rsidRDefault="00E91A59">
      <w:pPr>
        <w:pStyle w:val="30"/>
        <w:spacing w:line="280" w:lineRule="exact"/>
        <w:jc w:val="left"/>
        <w:rPr>
          <w:rFonts w:ascii="Times New Roman" w:eastAsiaTheme="minorEastAsia" w:hAnsi="Times New Roman" w:cs="Times New Roman"/>
          <w:sz w:val="21"/>
        </w:rPr>
      </w:pPr>
      <w:bookmarkStart w:id="30" w:name="_Toc989119"/>
      <w:r>
        <w:rPr>
          <w:rFonts w:ascii="Times New Roman" w:eastAsiaTheme="minorEastAsia" w:hAnsi="Times New Roman" w:cs="Times New Roman" w:hint="eastAsia"/>
          <w:sz w:val="21"/>
        </w:rPr>
        <w:t>12</w:t>
      </w:r>
      <w:r>
        <w:rPr>
          <w:rFonts w:ascii="Times New Roman" w:eastAsiaTheme="minorEastAsia" w:hAnsi="Times New Roman" w:cs="Times New Roman" w:hint="eastAsia"/>
          <w:sz w:val="21"/>
        </w:rPr>
        <w:t>、</w:t>
      </w:r>
      <w:bookmarkEnd w:id="30"/>
      <w:r>
        <w:rPr>
          <w:rFonts w:ascii="Times New Roman" w:eastAsiaTheme="minorEastAsia" w:hAnsi="Times New Roman" w:cs="Times New Roman" w:hint="eastAsia"/>
          <w:sz w:val="21"/>
        </w:rPr>
        <w:t>公允价值计量</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公允价值是指市场参与者在计量日发生的有序交易中，出售一项资产所能收到或者转移一项负债所需支付的价格。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以公允价值计量相关资产或负债，假定出售资产或者转移负债的有序交易在相关资产或负债的主要市场进行；不存在主要市场的，本公司假定该交易在相关资产或负债的最有利市场进行。主要市场（或最有利市场）是本公司在计量</w:t>
      </w:r>
      <w:proofErr w:type="gramStart"/>
      <w:r>
        <w:rPr>
          <w:rFonts w:ascii="Times New Roman" w:hAnsi="Times New Roman" w:cs="Times New Roman" w:hint="eastAsia"/>
          <w:sz w:val="18"/>
          <w:szCs w:val="18"/>
        </w:rPr>
        <w:t>日能够</w:t>
      </w:r>
      <w:proofErr w:type="gramEnd"/>
      <w:r>
        <w:rPr>
          <w:rFonts w:ascii="Times New Roman" w:hAnsi="Times New Roman" w:cs="Times New Roman" w:hint="eastAsia"/>
          <w:sz w:val="18"/>
          <w:szCs w:val="18"/>
        </w:rPr>
        <w:t>进入的交易市场。本公司采用市场参与者在对该资产或负债定价时为实现其经济利益最大化所使用的假设。</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存在活跃市场的金融资产或金融负债，本公司采用活跃市场中的报价确定其公允价值。金融工具不存在活跃市场的，本公司采用估值技术确定其公允价值。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以公允价值计量非金融资产的，考虑市场参与者将该资产用于最佳用途产生经济利益的能力，或者将该资产出售给能够用于最佳用途的其他市场参与者产生经济利益的能力。</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本公司采用在当前情况下适用并且有足够可利用数据和其他信息支持的估值技术，优先使用相关可观察输入值，只有在可观察输入值无法取得或取得不切实可行的情况下，才使用不可观察输入值。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在财务报表中以公允价值计量或披露的资产和负债，根据对公允价值计量整体而言具有重要意义的最低层次输入值，确定所属的公允价值层次：第一层次输入值，是在计量</w:t>
      </w:r>
      <w:proofErr w:type="gramStart"/>
      <w:r>
        <w:rPr>
          <w:rFonts w:ascii="Times New Roman" w:hAnsi="Times New Roman" w:cs="Times New Roman" w:hint="eastAsia"/>
          <w:sz w:val="18"/>
          <w:szCs w:val="18"/>
        </w:rPr>
        <w:t>日能够</w:t>
      </w:r>
      <w:proofErr w:type="gramEnd"/>
      <w:r>
        <w:rPr>
          <w:rFonts w:ascii="Times New Roman" w:hAnsi="Times New Roman" w:cs="Times New Roman" w:hint="eastAsia"/>
          <w:sz w:val="18"/>
          <w:szCs w:val="18"/>
        </w:rPr>
        <w:t>取得的相同资产或负债在活跃市场上未经调整的报价；第二层次输入值，是除第一层次输入</w:t>
      </w:r>
      <w:proofErr w:type="gramStart"/>
      <w:r>
        <w:rPr>
          <w:rFonts w:ascii="Times New Roman" w:hAnsi="Times New Roman" w:cs="Times New Roman" w:hint="eastAsia"/>
          <w:sz w:val="18"/>
          <w:szCs w:val="18"/>
        </w:rPr>
        <w:t>值外相关</w:t>
      </w:r>
      <w:proofErr w:type="gramEnd"/>
      <w:r>
        <w:rPr>
          <w:rFonts w:ascii="Times New Roman" w:hAnsi="Times New Roman" w:cs="Times New Roman" w:hint="eastAsia"/>
          <w:sz w:val="18"/>
          <w:szCs w:val="18"/>
        </w:rPr>
        <w:t>资产或负债直接或</w:t>
      </w:r>
      <w:proofErr w:type="gramStart"/>
      <w:r>
        <w:rPr>
          <w:rFonts w:ascii="Times New Roman" w:hAnsi="Times New Roman" w:cs="Times New Roman" w:hint="eastAsia"/>
          <w:sz w:val="18"/>
          <w:szCs w:val="18"/>
        </w:rPr>
        <w:t>间接可</w:t>
      </w:r>
      <w:proofErr w:type="gramEnd"/>
      <w:r>
        <w:rPr>
          <w:rFonts w:ascii="Times New Roman" w:hAnsi="Times New Roman" w:cs="Times New Roman" w:hint="eastAsia"/>
          <w:sz w:val="18"/>
          <w:szCs w:val="18"/>
        </w:rPr>
        <w:t>观察的输入值；第三层次输入值，是相关资产或负债的不可观察输入值。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每个资产负债表日，本公司对在财务报表中确认的持续以公允价值计量的资产和负债进行重新评估，以确定是否在公允价值计量层次之间发生转换。</w:t>
      </w:r>
    </w:p>
    <w:p w:rsidR="00403CD6" w:rsidRDefault="00E91A59">
      <w:pPr>
        <w:pStyle w:val="30"/>
        <w:spacing w:line="280" w:lineRule="exact"/>
        <w:jc w:val="left"/>
        <w:rPr>
          <w:rFonts w:ascii="Times New Roman" w:eastAsiaTheme="minorEastAsia" w:hAnsi="Times New Roman" w:cs="Times New Roman"/>
          <w:sz w:val="21"/>
        </w:rPr>
      </w:pPr>
      <w:bookmarkStart w:id="31" w:name="_Toc989124"/>
      <w:bookmarkStart w:id="32" w:name="_Toc989126"/>
      <w:r>
        <w:rPr>
          <w:rFonts w:ascii="Times New Roman" w:eastAsiaTheme="minorEastAsia" w:hAnsi="Times New Roman" w:cs="Times New Roman" w:hint="eastAsia"/>
          <w:sz w:val="21"/>
        </w:rPr>
        <w:t>13</w:t>
      </w:r>
      <w:r>
        <w:rPr>
          <w:rFonts w:ascii="Times New Roman" w:eastAsiaTheme="minorEastAsia" w:hAnsi="Times New Roman" w:cs="Times New Roman" w:hint="eastAsia"/>
          <w:sz w:val="21"/>
        </w:rPr>
        <w:t>、存货</w:t>
      </w:r>
      <w:bookmarkEnd w:id="31"/>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）存货的分类</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lastRenderedPageBreak/>
        <w:t>本公司存货分为原材料、在产品、库存商品、开发产品、消耗性生物资产等。</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）发出存货的计价方法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本公司存货取得时按实际成本计价。原材料、库存商品等发出时采用加权平均法计价。</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消耗性生物资产是指为出售而持有的生物资产，包括生长中的林木等。消耗性生物资产在形成蓄积量以前按照历史成本进行初始计量，形成蓄积量以后按照公允价值计量，公允价值变动计入当期损益。自行栽培、营造的消耗性生物资产的成本，为该资产在郁闭前发生的可直接归属于该资产的必要支出，包括符合资本化条件的借款费用。消耗性生物资产在郁闭后发生的管护等后续支出，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消耗性生物资产在收获或出售时，采用蓄积量比例法按账面价值结转成本。</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）存货跌价准备的确定依据和计提方法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资产负债表日，存货按照成本与可变现净值孰低计量。当其可变现净值低于成本时，计提存货跌价准备。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可变现净值是按存货的估计售价减去至完工时估计将要发生的成本、估计的销售费用以及相关税费后的金额。在确定存货的可变现净值时，以取得的确凿证据为基础，同时考虑持有存货的目的以及资产负债表日后事项的影响。</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本公司通常按照单个存货项目计提存货跌价准备。对于数量繁多、单价较低的存货，按照存货类别计提存货跌价准备。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）存货的盘存制度</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本公司存货盘存制度采用永续盘存制。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5</w:t>
      </w:r>
      <w:r>
        <w:rPr>
          <w:rFonts w:ascii="Times New Roman" w:hAnsi="Times New Roman" w:cs="Times New Roman" w:hint="eastAsia"/>
          <w:sz w:val="18"/>
          <w:szCs w:val="18"/>
        </w:rPr>
        <w:t>）低值易耗品和包装物的摊销方法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本公司低值易耗品领用时采用一次转销法摊销。</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周转用包装物领用时一次摊销计入成本费用。</w:t>
      </w:r>
    </w:p>
    <w:p w:rsidR="00403CD6" w:rsidRDefault="00E91A59">
      <w:pPr>
        <w:pStyle w:val="30"/>
        <w:spacing w:line="280" w:lineRule="exact"/>
        <w:jc w:val="left"/>
        <w:rPr>
          <w:rFonts w:ascii="Times New Roman" w:eastAsiaTheme="minorEastAsia" w:hAnsi="Times New Roman" w:cs="Times New Roman"/>
          <w:sz w:val="21"/>
        </w:rPr>
      </w:pPr>
      <w:bookmarkStart w:id="33" w:name="_Toc989093"/>
      <w:bookmarkEnd w:id="32"/>
      <w:r>
        <w:rPr>
          <w:rFonts w:ascii="Times New Roman" w:eastAsiaTheme="minorEastAsia" w:hAnsi="Times New Roman" w:cs="Times New Roman" w:hint="eastAsia"/>
          <w:sz w:val="21"/>
        </w:rPr>
        <w:t>14</w:t>
      </w:r>
      <w:r>
        <w:rPr>
          <w:rFonts w:ascii="Times New Roman" w:eastAsiaTheme="minorEastAsia" w:hAnsi="Times New Roman" w:cs="Times New Roman" w:hint="eastAsia"/>
          <w:sz w:val="21"/>
        </w:rPr>
        <w:t>、长期股权投资</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长期股权投资包括对子公司、合营企业和联营企业的权益性投资。本公司能够对被投资单位施加重大影响的，为本公司的联营企业。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）初始投资成本确定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形成企业合并的长期股权投资：同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下企业合并取得的长期股权投资，在</w:t>
      </w:r>
      <w:proofErr w:type="gramStart"/>
      <w:r>
        <w:rPr>
          <w:rFonts w:ascii="Times New Roman" w:hAnsi="Times New Roman" w:cs="Times New Roman" w:hint="eastAsia"/>
          <w:sz w:val="18"/>
          <w:szCs w:val="18"/>
        </w:rPr>
        <w:t>合并日按照</w:t>
      </w:r>
      <w:proofErr w:type="gramEnd"/>
      <w:r>
        <w:rPr>
          <w:rFonts w:ascii="Times New Roman" w:hAnsi="Times New Roman" w:cs="Times New Roman" w:hint="eastAsia"/>
          <w:sz w:val="18"/>
          <w:szCs w:val="18"/>
        </w:rPr>
        <w:t>取得被合并方所有者权益在最终控制方合并财务报表中的账面价值份额作为投资成本；非同</w:t>
      </w:r>
      <w:proofErr w:type="gramStart"/>
      <w:r>
        <w:rPr>
          <w:rFonts w:ascii="Times New Roman" w:hAnsi="Times New Roman" w:cs="Times New Roman" w:hint="eastAsia"/>
          <w:sz w:val="18"/>
          <w:szCs w:val="18"/>
        </w:rPr>
        <w:t>一控制</w:t>
      </w:r>
      <w:proofErr w:type="gramEnd"/>
      <w:r>
        <w:rPr>
          <w:rFonts w:ascii="Times New Roman" w:hAnsi="Times New Roman" w:cs="Times New Roman" w:hint="eastAsia"/>
          <w:sz w:val="18"/>
          <w:szCs w:val="18"/>
        </w:rPr>
        <w:t>下企业合并取得的长期股权投资，按照合并成本作为长期股权投资的投资成本。</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对于其他方式取得的长期股权投资：支付现金取得的长期股权投资，按照实际支付的购买价款作为初始投资成本；发行权益</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取得的长期股权投资，以发行权益</w:t>
      </w:r>
      <w:proofErr w:type="gramStart"/>
      <w:r>
        <w:rPr>
          <w:rFonts w:ascii="Times New Roman" w:hAnsi="Times New Roman" w:cs="Times New Roman" w:hint="eastAsia"/>
          <w:sz w:val="18"/>
          <w:szCs w:val="18"/>
        </w:rPr>
        <w:t>性证券</w:t>
      </w:r>
      <w:proofErr w:type="gramEnd"/>
      <w:r>
        <w:rPr>
          <w:rFonts w:ascii="Times New Roman" w:hAnsi="Times New Roman" w:cs="Times New Roman" w:hint="eastAsia"/>
          <w:sz w:val="18"/>
          <w:szCs w:val="18"/>
        </w:rPr>
        <w:t>的公允价值作为初始投资成本。</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）后续计量及损益确认方法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对子公司的投资，采用成本法核算，除非投资符合持有待售的条件；对联营企业和合营企业的投资，采用权益法核算。</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采用成本法核算的长期股权投资，除取得投资时实际支付的价款或对价中包含的已宣告但尚未发放的现金股利或利润外，被投资单位宣告分派的现金股利或利润，确认为投资收益计入当期损益。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采用权益法核算的长期股权投资，初始投资成本大于投资时应享有被投资单位可辨认净资产公允价值份额的，不调整长期股权投资的投资成本；初始投资成本小于投资时应享有被投资单位可辨认净资产公允价值份额的，对长期股权投资的账面价值进行调整，差额计入投资当期的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采用权益法核算时，按照应享有或应分担的被投资单位实现的净损益和其他综合收益的份额，分别确认投资收益和其他综合收益，同时调整长期股权投资的账面价值；按照被投资单位宣告分派的利润或现金股利计算应享有的部分，相应减少长期股权投资的账面价值；被投资单位除净损益、其他综合收益和利润分配以外所有者权益的其他变动，调整长期股权投资的账面价值并计入资本公积（其他资本公积）。在确认应享有被投资单位净损益的份额时，以取得投资时被投资单位各项可辨认资产等的公允价值为基础，并按照本公司的会计政策及会计期间，对被投资单位的净利润进行调整后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因追加投资等原因能够对被投资单位施加重大影响或实施共同控制但不构成控制的，在转换日，按照原股权的公允</w:t>
      </w:r>
      <w:r>
        <w:rPr>
          <w:rFonts w:ascii="Times New Roman" w:hAnsi="Times New Roman" w:cs="Times New Roman" w:hint="eastAsia"/>
          <w:sz w:val="18"/>
          <w:szCs w:val="18"/>
        </w:rPr>
        <w:lastRenderedPageBreak/>
        <w:t>价值加上新增投资成本之和，作为改按权益法核算的初始投资成本。原股权分类为以公允价值计量且其变动计入其他综合收益的</w:t>
      </w:r>
      <w:proofErr w:type="gramStart"/>
      <w:r>
        <w:rPr>
          <w:rFonts w:ascii="Times New Roman" w:hAnsi="Times New Roman" w:cs="Times New Roman" w:hint="eastAsia"/>
          <w:sz w:val="18"/>
          <w:szCs w:val="18"/>
        </w:rPr>
        <w:t>非交易</w:t>
      </w:r>
      <w:proofErr w:type="gramEnd"/>
      <w:r>
        <w:rPr>
          <w:rFonts w:ascii="Times New Roman" w:hAnsi="Times New Roman" w:cs="Times New Roman" w:hint="eastAsia"/>
          <w:sz w:val="18"/>
          <w:szCs w:val="18"/>
        </w:rPr>
        <w:t>性权益工具投资的，与其相关的原计入其他综合收益的累计公允价值变动在改按权益法核算时转入留存收益。</w:t>
      </w:r>
      <w:r>
        <w:rPr>
          <w:rFonts w:ascii="Times New Roman" w:hAnsi="Times New Roman" w:cs="Times New Roman" w:hint="eastAsia"/>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因处置部分股权投资等原因丧失了对被投资单位的共同控制或重大影响的，处置后的剩余股权在丧失共同控制或重大影响</w:t>
      </w:r>
      <w:proofErr w:type="gramStart"/>
      <w:r>
        <w:rPr>
          <w:rFonts w:ascii="Times New Roman" w:hAnsi="Times New Roman" w:cs="Times New Roman" w:hint="eastAsia"/>
          <w:sz w:val="18"/>
          <w:szCs w:val="18"/>
        </w:rPr>
        <w:t>之日改按</w:t>
      </w:r>
      <w:proofErr w:type="gramEnd"/>
      <w:r>
        <w:rPr>
          <w:rFonts w:ascii="Times New Roman" w:hAnsi="Times New Roman" w:cs="Times New Roman" w:hint="eastAsia"/>
          <w:sz w:val="18"/>
          <w:szCs w:val="18"/>
        </w:rPr>
        <w:t>《企业会计准则第</w:t>
      </w:r>
      <w:r>
        <w:rPr>
          <w:rFonts w:ascii="Times New Roman" w:hAnsi="Times New Roman" w:cs="Times New Roman" w:hint="eastAsia"/>
          <w:sz w:val="18"/>
          <w:szCs w:val="18"/>
        </w:rPr>
        <w:t>22</w:t>
      </w:r>
      <w:r>
        <w:rPr>
          <w:rFonts w:ascii="Times New Roman" w:hAnsi="Times New Roman" w:cs="Times New Roman" w:hint="eastAsia"/>
          <w:sz w:val="18"/>
          <w:szCs w:val="18"/>
        </w:rPr>
        <w:t>号——金融工具确认和计量》进行会计处理，公允价值与账面价值之间的差额计入当期损益。原股权投资因采用权益法核算而确认的其他综合收益，在终止采用权益法核算时采用与被投资单位直接处置相关资产或负债相同的基础进行会计处理；原股权投资相关的其他所有者权益变动转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处置部分股权投资等原因丧失了对被投资单位的控制的，处置后的剩余股权能够对被投资单位实施共同控制或施加重大影响的，改按权益法核算，并对该剩余股权视同自取得时即采用权益法核算进行调整；处置后的剩余股权不能对被投资单位实施共同控制或施加重大影响的，改按《企业会计准则第</w:t>
      </w:r>
      <w:r>
        <w:rPr>
          <w:rFonts w:ascii="Times New Roman" w:hAnsi="Times New Roman" w:cs="Times New Roman" w:hint="eastAsia"/>
          <w:sz w:val="18"/>
          <w:szCs w:val="18"/>
        </w:rPr>
        <w:t>22</w:t>
      </w:r>
      <w:r>
        <w:rPr>
          <w:rFonts w:ascii="Times New Roman" w:hAnsi="Times New Roman" w:cs="Times New Roman" w:hint="eastAsia"/>
          <w:sz w:val="18"/>
          <w:szCs w:val="18"/>
        </w:rPr>
        <w:t>号——金融工具确认和计量》的有关规定进行会计处理，其在丧失控制之日的公允价值与账面价值之间的差额计入当期损益。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因其他投资方增资而导致本公司持股比例下降、从而丧失控制权但能对被投资单位实施共同控制或施加重大影响的，按照新的持股比例确认本公司应享有的被投资单位因增资扩股而增加净资产的份额，与应结转持股比例下降部分所对应的长期股权投资原账面价值之间的差额计入当期损益；然后，按照新的持股比例视同自取得投资时即采用权益法核算进行调整。</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本公司与联营企业及合营企业之间发生的未实现内部交易损益按照持股比例计算归属于本公司的部分，在</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基础上确认投资损益。但本公司与被投资单位发生的未实现内部交易损失，属于所转让资产减值损失的，不予以</w:t>
      </w:r>
      <w:proofErr w:type="gramStart"/>
      <w:r>
        <w:rPr>
          <w:rFonts w:ascii="Times New Roman" w:hAnsi="Times New Roman" w:cs="Times New Roman" w:hint="eastAsia"/>
          <w:sz w:val="18"/>
          <w:szCs w:val="18"/>
        </w:rPr>
        <w:t>抵销</w:t>
      </w:r>
      <w:proofErr w:type="gramEnd"/>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）确定对被投资单位具有共同控制、重大影响的依据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共同控制，是指按照相关约定对某项安排所共有的控制，并且该安排的相关活动必须经过分享控制权的参与方一致同意后才能决策。在判断是否存在共同控制时，首先判断是否由所有参与方或参与方组合集体控制该安排，其次再判断该安排相关活动的决策是否必须经过这些集体控制该安排的参与方一致同意。如果所有参与方或一组参与方必须一致行动才能决定某项安排的相关活动，则认为所有参与方或一组参与</w:t>
      </w:r>
      <w:proofErr w:type="gramStart"/>
      <w:r>
        <w:rPr>
          <w:rFonts w:ascii="Times New Roman" w:hAnsi="Times New Roman" w:cs="Times New Roman" w:hint="eastAsia"/>
          <w:sz w:val="18"/>
          <w:szCs w:val="18"/>
        </w:rPr>
        <w:t>方集体</w:t>
      </w:r>
      <w:proofErr w:type="gramEnd"/>
      <w:r>
        <w:rPr>
          <w:rFonts w:ascii="Times New Roman" w:hAnsi="Times New Roman" w:cs="Times New Roman" w:hint="eastAsia"/>
          <w:sz w:val="18"/>
          <w:szCs w:val="18"/>
        </w:rPr>
        <w:t>控制该安排；如果存在两个或两个以上的参与方组合能够集体控制某项安排的，不构成共同控制。判断是否存在共同控制时，不考虑享有的保护性权利。</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重大影响，是指投资方对被投资单位的财务和经营政策有参与决策的权力，但并不能够控制或者与其他方一起共同控制这些政策的制定。在确定能否对被投资单位施加重大影响时，考虑投资方直接或间接持有被投资单位的表决权股份以及投资方及其他方持有的当期可执行潜在表决权在假定转换为对被投资方单位的股权后产生的影响，包括被投资单位发行的当期可转换的认股权证、股份期权及可转换公司债</w:t>
      </w:r>
      <w:proofErr w:type="gramStart"/>
      <w:r>
        <w:rPr>
          <w:rFonts w:ascii="Times New Roman" w:hAnsi="Times New Roman" w:cs="Times New Roman" w:hint="eastAsia"/>
          <w:sz w:val="18"/>
          <w:szCs w:val="18"/>
        </w:rPr>
        <w:t>券</w:t>
      </w:r>
      <w:proofErr w:type="gramEnd"/>
      <w:r>
        <w:rPr>
          <w:rFonts w:ascii="Times New Roman" w:hAnsi="Times New Roman" w:cs="Times New Roman" w:hint="eastAsia"/>
          <w:sz w:val="18"/>
          <w:szCs w:val="18"/>
        </w:rPr>
        <w:t>等的影响。</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当本公司直接或通过子公司间接拥有被投资单位</w:t>
      </w:r>
      <w:r>
        <w:rPr>
          <w:rFonts w:ascii="Times New Roman" w:hAnsi="Times New Roman" w:cs="Times New Roman" w:hint="eastAsia"/>
          <w:sz w:val="18"/>
          <w:szCs w:val="18"/>
        </w:rPr>
        <w:t>20%</w:t>
      </w:r>
      <w:r>
        <w:rPr>
          <w:rFonts w:ascii="Times New Roman" w:hAnsi="Times New Roman" w:cs="Times New Roman" w:hint="eastAsia"/>
          <w:sz w:val="18"/>
          <w:szCs w:val="18"/>
        </w:rPr>
        <w:t>（含</w:t>
      </w:r>
      <w:r>
        <w:rPr>
          <w:rFonts w:ascii="Times New Roman" w:hAnsi="Times New Roman" w:cs="Times New Roman" w:hint="eastAsia"/>
          <w:sz w:val="18"/>
          <w:szCs w:val="18"/>
        </w:rPr>
        <w:t>20%</w:t>
      </w:r>
      <w:r>
        <w:rPr>
          <w:rFonts w:ascii="Times New Roman" w:hAnsi="Times New Roman" w:cs="Times New Roman" w:hint="eastAsia"/>
          <w:sz w:val="18"/>
          <w:szCs w:val="18"/>
        </w:rPr>
        <w:t>）</w:t>
      </w:r>
      <w:proofErr w:type="gramStart"/>
      <w:r>
        <w:rPr>
          <w:rFonts w:ascii="Times New Roman" w:hAnsi="Times New Roman" w:cs="Times New Roman" w:hint="eastAsia"/>
          <w:sz w:val="18"/>
          <w:szCs w:val="18"/>
        </w:rPr>
        <w:t>以上但</w:t>
      </w:r>
      <w:proofErr w:type="gramEnd"/>
      <w:r>
        <w:rPr>
          <w:rFonts w:ascii="Times New Roman" w:hAnsi="Times New Roman" w:cs="Times New Roman" w:hint="eastAsia"/>
          <w:sz w:val="18"/>
          <w:szCs w:val="18"/>
        </w:rPr>
        <w:t>低于</w:t>
      </w:r>
      <w:r>
        <w:rPr>
          <w:rFonts w:ascii="Times New Roman" w:hAnsi="Times New Roman" w:cs="Times New Roman" w:hint="eastAsia"/>
          <w:sz w:val="18"/>
          <w:szCs w:val="18"/>
        </w:rPr>
        <w:t>50%</w:t>
      </w:r>
      <w:r>
        <w:rPr>
          <w:rFonts w:ascii="Times New Roman" w:hAnsi="Times New Roman" w:cs="Times New Roman" w:hint="eastAsia"/>
          <w:sz w:val="18"/>
          <w:szCs w:val="18"/>
        </w:rPr>
        <w:t>的表决权股份时，一般认为对被投资单位具有重大影响，除非有明确证据表明该种情况下不能参与被投资单位的生产经营决策，不形成重大影响；本公司拥有被投资单位</w:t>
      </w:r>
      <w:r>
        <w:rPr>
          <w:rFonts w:ascii="Times New Roman" w:hAnsi="Times New Roman" w:cs="Times New Roman" w:hint="eastAsia"/>
          <w:sz w:val="18"/>
          <w:szCs w:val="18"/>
        </w:rPr>
        <w:t>20%</w:t>
      </w:r>
      <w:r>
        <w:rPr>
          <w:rFonts w:ascii="Times New Roman" w:hAnsi="Times New Roman" w:cs="Times New Roman" w:hint="eastAsia"/>
          <w:sz w:val="18"/>
          <w:szCs w:val="18"/>
        </w:rPr>
        <w:t>（不含）以下的表决权股份时，一般不认为对被投资单位具有重大影响，除非有明确证据表明该种情况下能够参与被投资单位的生产经营决策，形成重大影响。</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）减值测试方法及减值准备计提方法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对子公司、联营企业及合营企业的投资，计提资产减值的方法见附注五、</w:t>
      </w:r>
      <w:r>
        <w:rPr>
          <w:rFonts w:ascii="Times New Roman" w:hAnsi="Times New Roman" w:cs="Times New Roman" w:hint="eastAsia"/>
          <w:sz w:val="18"/>
          <w:szCs w:val="18"/>
        </w:rPr>
        <w:t>23</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15</w:t>
      </w:r>
      <w:r>
        <w:rPr>
          <w:rFonts w:ascii="Times New Roman" w:eastAsiaTheme="minorEastAsia" w:hAnsi="Times New Roman" w:cs="Times New Roman"/>
          <w:sz w:val="21"/>
        </w:rPr>
        <w:t>、投资性房地产</w:t>
      </w:r>
    </w:p>
    <w:p w:rsidR="00403CD6" w:rsidRDefault="00E91A59">
      <w:pPr>
        <w:ind w:firstLineChars="200" w:firstLine="360"/>
        <w:rPr>
          <w:rFonts w:ascii="Times New Roman" w:hAnsi="Times New Roman" w:cs="Times New Roman"/>
          <w:sz w:val="18"/>
          <w:szCs w:val="18"/>
        </w:rPr>
      </w:pPr>
      <w:bookmarkStart w:id="34" w:name="_Toc989097"/>
      <w:bookmarkEnd w:id="33"/>
      <w:r>
        <w:rPr>
          <w:rFonts w:ascii="Times New Roman" w:hAnsi="Times New Roman" w:cs="Times New Roman" w:hint="eastAsia"/>
          <w:sz w:val="18"/>
          <w:szCs w:val="18"/>
        </w:rPr>
        <w:t>投资性房地产是指为赚取租金或资本增值，或两者兼有而持有的房地产。本公司投资性房地产包括已出租的土地使用权、持有并</w:t>
      </w:r>
      <w:proofErr w:type="gramStart"/>
      <w:r>
        <w:rPr>
          <w:rFonts w:ascii="Times New Roman" w:hAnsi="Times New Roman" w:cs="Times New Roman" w:hint="eastAsia"/>
          <w:sz w:val="18"/>
          <w:szCs w:val="18"/>
        </w:rPr>
        <w:t>准备增值</w:t>
      </w:r>
      <w:proofErr w:type="gramEnd"/>
      <w:r>
        <w:rPr>
          <w:rFonts w:ascii="Times New Roman" w:hAnsi="Times New Roman" w:cs="Times New Roman" w:hint="eastAsia"/>
          <w:sz w:val="18"/>
          <w:szCs w:val="18"/>
        </w:rPr>
        <w:t>后转让的土地使用权、已出租的建筑物。</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本公司投资性房地产按照取得时的成本进行初始计量，并按照固定资产或无形资产的有关规定，按期计提折旧或摊销。</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采用成本模式进行后续计量的投资性房地产，计提资产减值方法见附注五、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投资性房地产出售、转让、报废或毁损的处置收入扣除其账面价值和相关税费后的差额计入当期损益。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lastRenderedPageBreak/>
        <w:t>16</w:t>
      </w:r>
      <w:r>
        <w:rPr>
          <w:rFonts w:ascii="Times New Roman" w:eastAsiaTheme="minorEastAsia" w:hAnsi="Times New Roman" w:cs="Times New Roman"/>
          <w:sz w:val="21"/>
        </w:rPr>
        <w:t>、固定资产</w:t>
      </w:r>
    </w:p>
    <w:p w:rsidR="00403CD6" w:rsidRDefault="00E91A59">
      <w:pPr>
        <w:keepNext/>
        <w:keepLines/>
        <w:spacing w:before="300" w:after="300" w:line="280" w:lineRule="exact"/>
        <w:ind w:firstLineChars="100" w:firstLine="180"/>
        <w:outlineLvl w:val="3"/>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）固定资产确认条件</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本公司固定资产是指为生产商品、提供劳务、出租或经营管理而持有的，使用寿命超过一个会计年度的有形资产。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与该固定资产有关的经济利益很可能流入企业，并且该固定资产的成本能够可靠地计量时，固定资产才能予以确认。</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本公司固定资产按照取得时的实际成本进行初始计量。</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与固定资产有关的后续支出，在与其有关的经济利益很可能流入本公司且其成本能够可靠计量时，计入固定资产成本；不符合固定资产资本化后续支出条件的固定资产日常修理费用，在发生时按照受益对象计入当期损益或计入相关资产的成本。对于被替换的部分，终止确认其账面价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）各类固定资产的折旧方法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本公司采用年限平均法计提折旧。固定资产</w:t>
      </w:r>
      <w:proofErr w:type="gramStart"/>
      <w:r>
        <w:rPr>
          <w:rFonts w:ascii="Times New Roman" w:hAnsi="Times New Roman" w:cs="Times New Roman" w:hint="eastAsia"/>
          <w:sz w:val="18"/>
          <w:szCs w:val="18"/>
        </w:rPr>
        <w:t>自达到</w:t>
      </w:r>
      <w:proofErr w:type="gramEnd"/>
      <w:r>
        <w:rPr>
          <w:rFonts w:ascii="Times New Roman" w:hAnsi="Times New Roman" w:cs="Times New Roman" w:hint="eastAsia"/>
          <w:sz w:val="18"/>
          <w:szCs w:val="18"/>
        </w:rPr>
        <w:t>预定可使用状态时开始计提折旧，终止确认时或划分为持有待售非流动资产时停止计提折旧。在不考虑减值准备的情况下，按固定资产类别、预计使用寿命和预计残值，本公司确定各类固定资产的年折旧率如下：</w:t>
      </w:r>
      <w:r>
        <w:rPr>
          <w:rFonts w:ascii="Times New Roman" w:hAnsi="Times New Roman" w:cs="Times New Roman" w:hint="eastAsia"/>
          <w:sz w:val="18"/>
          <w:szCs w:val="18"/>
        </w:rPr>
        <w:t xml:space="preserve"> </w:t>
      </w:r>
    </w:p>
    <w:tbl>
      <w:tblPr>
        <w:tblW w:w="48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284"/>
        <w:gridCol w:w="2340"/>
        <w:gridCol w:w="1602"/>
        <w:gridCol w:w="2110"/>
      </w:tblGrid>
      <w:tr w:rsidR="00403CD6">
        <w:trPr>
          <w:trHeight w:val="284"/>
        </w:trPr>
        <w:tc>
          <w:tcPr>
            <w:tcW w:w="17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类别</w:t>
            </w:r>
          </w:p>
        </w:tc>
        <w:tc>
          <w:tcPr>
            <w:tcW w:w="1252"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折旧年限(年)</w:t>
            </w:r>
          </w:p>
        </w:tc>
        <w:tc>
          <w:tcPr>
            <w:tcW w:w="8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残值率%</w:t>
            </w:r>
          </w:p>
        </w:tc>
        <w:tc>
          <w:tcPr>
            <w:tcW w:w="113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年折旧率%</w:t>
            </w:r>
          </w:p>
        </w:tc>
      </w:tr>
      <w:tr w:rsidR="00403CD6">
        <w:trPr>
          <w:trHeight w:val="284"/>
        </w:trPr>
        <w:tc>
          <w:tcPr>
            <w:tcW w:w="17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房屋及建筑物</w:t>
            </w:r>
          </w:p>
        </w:tc>
        <w:tc>
          <w:tcPr>
            <w:tcW w:w="125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20-40</w:t>
            </w:r>
          </w:p>
        </w:tc>
        <w:tc>
          <w:tcPr>
            <w:tcW w:w="8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5-10</w:t>
            </w:r>
          </w:p>
        </w:tc>
        <w:tc>
          <w:tcPr>
            <w:tcW w:w="1130"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2.25-4.75</w:t>
            </w:r>
          </w:p>
        </w:tc>
      </w:tr>
      <w:tr w:rsidR="00403CD6">
        <w:trPr>
          <w:trHeight w:val="284"/>
        </w:trPr>
        <w:tc>
          <w:tcPr>
            <w:tcW w:w="17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机器设备</w:t>
            </w:r>
          </w:p>
        </w:tc>
        <w:tc>
          <w:tcPr>
            <w:tcW w:w="125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8-20</w:t>
            </w:r>
          </w:p>
        </w:tc>
        <w:tc>
          <w:tcPr>
            <w:tcW w:w="8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5-10</w:t>
            </w:r>
          </w:p>
        </w:tc>
        <w:tc>
          <w:tcPr>
            <w:tcW w:w="1130"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4.50-11.88</w:t>
            </w:r>
          </w:p>
        </w:tc>
      </w:tr>
      <w:tr w:rsidR="00403CD6">
        <w:trPr>
          <w:trHeight w:val="284"/>
        </w:trPr>
        <w:tc>
          <w:tcPr>
            <w:tcW w:w="17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运输设备</w:t>
            </w:r>
          </w:p>
        </w:tc>
        <w:tc>
          <w:tcPr>
            <w:tcW w:w="125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5-8</w:t>
            </w:r>
          </w:p>
        </w:tc>
        <w:tc>
          <w:tcPr>
            <w:tcW w:w="8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5-10</w:t>
            </w:r>
          </w:p>
        </w:tc>
        <w:tc>
          <w:tcPr>
            <w:tcW w:w="1130"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11.25-19.00</w:t>
            </w:r>
          </w:p>
        </w:tc>
      </w:tr>
      <w:tr w:rsidR="00403CD6">
        <w:trPr>
          <w:trHeight w:val="284"/>
        </w:trPr>
        <w:tc>
          <w:tcPr>
            <w:tcW w:w="17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电子设备及其他</w:t>
            </w:r>
          </w:p>
        </w:tc>
        <w:tc>
          <w:tcPr>
            <w:tcW w:w="125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w:t>
            </w:r>
          </w:p>
        </w:tc>
        <w:tc>
          <w:tcPr>
            <w:tcW w:w="8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5-10</w:t>
            </w:r>
          </w:p>
        </w:tc>
        <w:tc>
          <w:tcPr>
            <w:tcW w:w="1130"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18.00-19.00</w:t>
            </w:r>
          </w:p>
        </w:tc>
      </w:tr>
    </w:tbl>
    <w:p w:rsidR="00403CD6" w:rsidRDefault="00E91A59">
      <w:pPr>
        <w:ind w:firstLineChars="300" w:firstLine="540"/>
        <w:rPr>
          <w:rFonts w:ascii="Times New Roman" w:hAnsi="Times New Roman" w:cs="Times New Roman"/>
          <w:sz w:val="18"/>
          <w:szCs w:val="18"/>
        </w:rPr>
      </w:pPr>
      <w:r>
        <w:rPr>
          <w:rFonts w:ascii="Times New Roman" w:hAnsi="Times New Roman" w:cs="Times New Roman" w:hint="eastAsia"/>
          <w:sz w:val="18"/>
          <w:szCs w:val="18"/>
        </w:rPr>
        <w:t>其中，已计提减值准备的固定资产，还应扣除已计提的固定资产减值准备累计金额计算确定折旧率。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）固定资产的减值测试方法、减值准备计提方法见附注五、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）每年年度终了，本公司对固定资产的使用寿命、预计净残值和折旧方法进行复核。</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使用寿命预计数与原先估计数有差异的，调整固定资产使用寿命；预计净残值预计数与原先估计数有差异的，调整预计净残值。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5</w:t>
      </w:r>
      <w:r>
        <w:rPr>
          <w:rFonts w:ascii="Times New Roman" w:hAnsi="Times New Roman" w:cs="Times New Roman" w:hint="eastAsia"/>
          <w:sz w:val="18"/>
          <w:szCs w:val="18"/>
        </w:rPr>
        <w:t>）固定资产处置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当固定资产被处置、或者预期通过使用或处置不能产生经济利益时，终止确认该固定资产。固定资产出售、转让、报废或毁损的处置收入扣除其账面价值和相关税费后的金额计入当期损益。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17</w:t>
      </w:r>
      <w:r>
        <w:rPr>
          <w:rFonts w:ascii="Times New Roman" w:eastAsiaTheme="minorEastAsia" w:hAnsi="Times New Roman" w:cs="Times New Roman"/>
          <w:sz w:val="21"/>
        </w:rPr>
        <w:t>、在建工程</w:t>
      </w:r>
      <w:bookmarkEnd w:id="34"/>
    </w:p>
    <w:p w:rsidR="00403CD6" w:rsidRDefault="00E91A59">
      <w:pPr>
        <w:ind w:firstLineChars="200" w:firstLine="360"/>
        <w:rPr>
          <w:rFonts w:ascii="Times New Roman" w:hAnsi="Times New Roman" w:cs="Times New Roman"/>
          <w:sz w:val="18"/>
          <w:szCs w:val="18"/>
        </w:rPr>
      </w:pPr>
      <w:bookmarkStart w:id="35" w:name="_Toc989098"/>
      <w:r>
        <w:rPr>
          <w:rFonts w:ascii="Times New Roman" w:hAnsi="Times New Roman" w:cs="Times New Roman" w:hint="eastAsia"/>
          <w:sz w:val="18"/>
          <w:szCs w:val="18"/>
        </w:rPr>
        <w:t>本公司在建工程成本按实际工程支出确定，包括在建期间发生的各项必要工程支出、工程达到预定可使用状态前的应予资本化的借款费用以及其他相关费用等。</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在建工程在达到预定可使用状态时转入固定资产。对于技改或者新上的机制纸项目，在项目完工后试运行一段时间（一般为三个月），在试运行期间完成内部验收后，由在建工程转入固定资产。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在建工程计提资产减值方法见附注五、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18</w:t>
      </w:r>
      <w:r>
        <w:rPr>
          <w:rFonts w:ascii="Times New Roman" w:eastAsiaTheme="minorEastAsia" w:hAnsi="Times New Roman" w:cs="Times New Roman"/>
          <w:sz w:val="21"/>
        </w:rPr>
        <w:t>、</w:t>
      </w:r>
      <w:r>
        <w:rPr>
          <w:rFonts w:ascii="Times New Roman" w:eastAsiaTheme="minorEastAsia" w:hAnsi="Times New Roman" w:cs="Times New Roman" w:hint="eastAsia"/>
          <w:sz w:val="21"/>
        </w:rPr>
        <w:t>工程物资</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本公司工程物资是指为在建工程准备的各种物资，包括工程用材料、尚未安装的设备以及为生产准备的工器具等。</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购入工程物资按成本计量，领用工程物资转入在建工程，工程完工后剩余的工程物资转作存货。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工程物资计提资产减值方法见附注五、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资产负债表中，工程物资期末余额列示于“在建工程”项目。</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lastRenderedPageBreak/>
        <w:t>19</w:t>
      </w:r>
      <w:r>
        <w:rPr>
          <w:rFonts w:ascii="Times New Roman" w:eastAsiaTheme="minorEastAsia" w:hAnsi="Times New Roman" w:cs="Times New Roman"/>
          <w:sz w:val="21"/>
        </w:rPr>
        <w:t>、借款费用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）借款费用资本化的确认原则</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发生的借款费用，可直接归属于符合资本化条件的资产的购建或者生产的，予以资本化，计入相关资产成本；其他借款费用，在发生时根据其发生额确认为费用，计入当期损益。借款费用同时满足下列条件的，开始资本化：</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①</w:t>
      </w:r>
      <w:r>
        <w:rPr>
          <w:rFonts w:ascii="Times New Roman" w:hAnsi="Times New Roman" w:cs="Times New Roman" w:hint="eastAsia"/>
          <w:sz w:val="18"/>
          <w:szCs w:val="18"/>
        </w:rPr>
        <w:t xml:space="preserve"> </w:t>
      </w:r>
      <w:r>
        <w:rPr>
          <w:rFonts w:ascii="Times New Roman" w:hAnsi="Times New Roman" w:cs="Times New Roman" w:hint="eastAsia"/>
          <w:sz w:val="18"/>
          <w:szCs w:val="18"/>
        </w:rPr>
        <w:t>资产支出已经发生，资产支出包括为购建或者生产符合资本化条件的资产而以支付现金、</w:t>
      </w:r>
      <w:proofErr w:type="gramStart"/>
      <w:r>
        <w:rPr>
          <w:rFonts w:ascii="Times New Roman" w:hAnsi="Times New Roman" w:cs="Times New Roman" w:hint="eastAsia"/>
          <w:sz w:val="18"/>
          <w:szCs w:val="18"/>
        </w:rPr>
        <w:t>转移非</w:t>
      </w:r>
      <w:proofErr w:type="gramEnd"/>
      <w:r>
        <w:rPr>
          <w:rFonts w:ascii="Times New Roman" w:hAnsi="Times New Roman" w:cs="Times New Roman" w:hint="eastAsia"/>
          <w:sz w:val="18"/>
          <w:szCs w:val="18"/>
        </w:rPr>
        <w:t>现金资产或者承担带息债务形式发生的支出；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②</w:t>
      </w:r>
      <w:r>
        <w:rPr>
          <w:rFonts w:ascii="Times New Roman" w:hAnsi="Times New Roman" w:cs="Times New Roman" w:hint="eastAsia"/>
          <w:sz w:val="18"/>
          <w:szCs w:val="18"/>
        </w:rPr>
        <w:t xml:space="preserve"> </w:t>
      </w:r>
      <w:r>
        <w:rPr>
          <w:rFonts w:ascii="Times New Roman" w:hAnsi="Times New Roman" w:cs="Times New Roman" w:hint="eastAsia"/>
          <w:sz w:val="18"/>
          <w:szCs w:val="18"/>
        </w:rPr>
        <w:t>借款费用已经发生；</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③</w:t>
      </w:r>
      <w:r>
        <w:rPr>
          <w:rFonts w:ascii="Times New Roman" w:hAnsi="Times New Roman" w:cs="Times New Roman" w:hint="eastAsia"/>
          <w:sz w:val="18"/>
          <w:szCs w:val="18"/>
        </w:rPr>
        <w:t xml:space="preserve"> </w:t>
      </w:r>
      <w:r>
        <w:rPr>
          <w:rFonts w:ascii="Times New Roman" w:hAnsi="Times New Roman" w:cs="Times New Roman" w:hint="eastAsia"/>
          <w:sz w:val="18"/>
          <w:szCs w:val="18"/>
        </w:rPr>
        <w:t>为使资产达到预定可使用或者可销售状态所必要的购建或者生产活动已经开始。</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）借款费用资本化期间</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购建或者生产符合资本化条件的资产达到预定可使用或者可销售状态时，借款费用停止资本化。在符合资本化条件的资产达到预定可使用或者可销售状态之后所发生的借款费用，在发生时根据其发生额确认为费用，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符合资本化条件的资产在购建或者生产过程中发生非正常中断、且中断时间连续超过</w:t>
      </w:r>
      <w:r>
        <w:rPr>
          <w:rFonts w:ascii="Times New Roman" w:hAnsi="Times New Roman" w:cs="Times New Roman" w:hint="eastAsia"/>
          <w:sz w:val="18"/>
          <w:szCs w:val="18"/>
        </w:rPr>
        <w:t>3</w:t>
      </w:r>
      <w:r>
        <w:rPr>
          <w:rFonts w:ascii="Times New Roman" w:hAnsi="Times New Roman" w:cs="Times New Roman" w:hint="eastAsia"/>
          <w:sz w:val="18"/>
          <w:szCs w:val="18"/>
        </w:rPr>
        <w:t>个月的，暂停借款费用的资本化；正常中断期间的借款费用继续资本化。</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）借款费用资本化率以及资本</w:t>
      </w:r>
      <w:proofErr w:type="gramStart"/>
      <w:r>
        <w:rPr>
          <w:rFonts w:ascii="Times New Roman" w:hAnsi="Times New Roman" w:cs="Times New Roman" w:hint="eastAsia"/>
          <w:sz w:val="18"/>
          <w:szCs w:val="18"/>
        </w:rPr>
        <w:t>化金额</w:t>
      </w:r>
      <w:proofErr w:type="gramEnd"/>
      <w:r>
        <w:rPr>
          <w:rFonts w:ascii="Times New Roman" w:hAnsi="Times New Roman" w:cs="Times New Roman" w:hint="eastAsia"/>
          <w:sz w:val="18"/>
          <w:szCs w:val="18"/>
        </w:rPr>
        <w:t>的计算方法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专门借款当期实际发生的利息费用，减去尚未动用的借款资金存入银行取得的利息收入或进行暂时性投资取得的投资收益后的金额予以资本化；一般借款根据累计资产支出超过专门借款部分的资产支出加权平均数乘以所占用一般借款的资本化率，确定资本化金额。资本化率根据一般借款的加权平均利率计算确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资本</w:t>
      </w:r>
      <w:proofErr w:type="gramStart"/>
      <w:r>
        <w:rPr>
          <w:rFonts w:ascii="Times New Roman" w:hAnsi="Times New Roman" w:cs="Times New Roman" w:hint="eastAsia"/>
          <w:sz w:val="18"/>
          <w:szCs w:val="18"/>
        </w:rPr>
        <w:t>化期间</w:t>
      </w:r>
      <w:proofErr w:type="gramEnd"/>
      <w:r>
        <w:rPr>
          <w:rFonts w:ascii="Times New Roman" w:hAnsi="Times New Roman" w:cs="Times New Roman" w:hint="eastAsia"/>
          <w:sz w:val="18"/>
          <w:szCs w:val="18"/>
        </w:rPr>
        <w:t>内，外币专门借款的汇兑差额全部予以资本化；外币一般借款的汇兑差额计入当期损益。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20</w:t>
      </w:r>
      <w:r>
        <w:rPr>
          <w:rFonts w:ascii="Times New Roman" w:eastAsiaTheme="minorEastAsia" w:hAnsi="Times New Roman" w:cs="Times New Roman"/>
          <w:sz w:val="21"/>
        </w:rPr>
        <w:t>、</w:t>
      </w:r>
      <w:r>
        <w:rPr>
          <w:rFonts w:ascii="Times New Roman" w:eastAsiaTheme="minorEastAsia" w:hAnsi="Times New Roman" w:cs="Times New Roman" w:hint="eastAsia"/>
          <w:sz w:val="21"/>
        </w:rPr>
        <w:t>生产性生物资产</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）生产性生物资产的确定标准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生产性生物资产是指为产出农产品、提供劳务或出租等目的而持有的生物资产，本公司的生产性生物资产主要为茶树。生产性生物资产按照成本进行初始计量。自行营造或繁殖的生产性生物资产的成本，为该资产在达到预定生产经营目的前发生的可直接归属于该资产的必要支出，包括符合资本化条件的借款费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生产性生物资产在郁闭或达到预定生产经营目的后发生的管护、饲养费用计入当期损益。根据经验本公司种植的茶树一般需要</w:t>
      </w:r>
      <w:r>
        <w:rPr>
          <w:rFonts w:ascii="Times New Roman" w:hAnsi="Times New Roman" w:cs="Times New Roman" w:hint="eastAsia"/>
          <w:sz w:val="18"/>
          <w:szCs w:val="18"/>
        </w:rPr>
        <w:t>7</w:t>
      </w:r>
      <w:r>
        <w:rPr>
          <w:rFonts w:ascii="Times New Roman" w:hAnsi="Times New Roman" w:cs="Times New Roman" w:hint="eastAsia"/>
          <w:sz w:val="18"/>
          <w:szCs w:val="18"/>
        </w:rPr>
        <w:t>年达到郁闭期。</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生产性生物资产折旧采用直线法计算，按各类生物资产估计的使用年限扣除残值后，确定折旧率如下：</w:t>
      </w:r>
    </w:p>
    <w:tbl>
      <w:tblPr>
        <w:tblW w:w="48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282"/>
        <w:gridCol w:w="2338"/>
        <w:gridCol w:w="1601"/>
        <w:gridCol w:w="2109"/>
      </w:tblGrid>
      <w:tr w:rsidR="00403CD6">
        <w:trPr>
          <w:trHeight w:val="284"/>
        </w:trPr>
        <w:tc>
          <w:tcPr>
            <w:tcW w:w="17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Times New Roman" w:hAnsi="Times New Roman" w:cs="Times New Roman" w:hint="eastAsia"/>
                <w:sz w:val="18"/>
                <w:szCs w:val="18"/>
              </w:rPr>
              <w:t>生产性生物资产类别</w:t>
            </w:r>
            <w:r>
              <w:rPr>
                <w:rFonts w:ascii="Times New Roman" w:hAnsi="Times New Roman" w:cs="Times New Roman" w:hint="eastAsia"/>
                <w:sz w:val="18"/>
                <w:szCs w:val="18"/>
              </w:rPr>
              <w:tab/>
            </w:r>
          </w:p>
        </w:tc>
        <w:tc>
          <w:tcPr>
            <w:tcW w:w="1252"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Times New Roman" w:hAnsi="Times New Roman" w:cs="Times New Roman" w:hint="eastAsia"/>
                <w:sz w:val="18"/>
                <w:szCs w:val="18"/>
              </w:rPr>
              <w:t>使用年限（年）</w:t>
            </w:r>
          </w:p>
        </w:tc>
        <w:tc>
          <w:tcPr>
            <w:tcW w:w="8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残值率%</w:t>
            </w:r>
          </w:p>
        </w:tc>
        <w:tc>
          <w:tcPr>
            <w:tcW w:w="113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年折旧率%</w:t>
            </w:r>
          </w:p>
        </w:tc>
      </w:tr>
      <w:tr w:rsidR="00403CD6">
        <w:trPr>
          <w:trHeight w:val="284"/>
        </w:trPr>
        <w:tc>
          <w:tcPr>
            <w:tcW w:w="1758"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茶树</w:t>
            </w:r>
          </w:p>
        </w:tc>
        <w:tc>
          <w:tcPr>
            <w:tcW w:w="125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20</w:t>
            </w:r>
          </w:p>
        </w:tc>
        <w:tc>
          <w:tcPr>
            <w:tcW w:w="858" w:type="pct"/>
            <w:vAlign w:val="center"/>
          </w:tcPr>
          <w:p w:rsidR="00403CD6" w:rsidRDefault="00403CD6">
            <w:pPr>
              <w:ind w:firstLineChars="200" w:firstLine="360"/>
              <w:jc w:val="center"/>
              <w:rPr>
                <w:rFonts w:ascii="Times New Roman" w:hAnsi="Times New Roman" w:cs="Times New Roman"/>
                <w:sz w:val="18"/>
                <w:szCs w:val="18"/>
              </w:rPr>
            </w:pPr>
          </w:p>
        </w:tc>
        <w:tc>
          <w:tcPr>
            <w:tcW w:w="1130"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5.00</w:t>
            </w:r>
          </w:p>
        </w:tc>
      </w:tr>
    </w:tbl>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本公司至少于年度终了对生产性生物资产的使用寿命、预计净残值和折旧方法进行复核，如发生改变则作为会计估计变更处理。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生产性生物资产出售、盘亏、死亡或毁损的处置收入扣除其账面价值和相关税费后的差额计入当期损益。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）生产线生物资产减值的处理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生产性生物资产计提资产减值方法见附注五、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21</w:t>
      </w:r>
      <w:r>
        <w:rPr>
          <w:rFonts w:ascii="Times New Roman" w:eastAsiaTheme="minorEastAsia" w:hAnsi="Times New Roman" w:cs="Times New Roman" w:hint="eastAsia"/>
          <w:sz w:val="21"/>
        </w:rPr>
        <w:t>、</w:t>
      </w:r>
      <w:r>
        <w:rPr>
          <w:rFonts w:ascii="Times New Roman" w:eastAsiaTheme="minorEastAsia" w:hAnsi="Times New Roman" w:cs="Times New Roman"/>
          <w:sz w:val="21"/>
        </w:rPr>
        <w:t>无形资产</w:t>
      </w:r>
      <w:bookmarkStart w:id="36" w:name="_Toc989138"/>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本公司无形资产包括土地使用权、软件、专利权、他项权证等。</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无形资产按照成本进行初始计量，并于取得无形资产时分析判断其使用寿命。使用寿命为有限的，自无形资产可供使用时起，采用能反映与该资产有关的经济利益的预期实现方式的摊销方法，在预计使用年限内摊销；无法可靠确定预期实现方式的，采用直线法摊销；使用寿命不确定的无形资产，不作摊销。</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使用寿命有限的无形资产摊销方法如下：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2"/>
        <w:gridCol w:w="2150"/>
        <w:gridCol w:w="2152"/>
        <w:gridCol w:w="2152"/>
        <w:gridCol w:w="1677"/>
      </w:tblGrid>
      <w:tr w:rsidR="00403CD6">
        <w:trPr>
          <w:cantSplit/>
          <w:trHeight w:val="284"/>
          <w:tblHeader/>
          <w:jc w:val="center"/>
        </w:trPr>
        <w:tc>
          <w:tcPr>
            <w:tcW w:w="874" w:type="pct"/>
            <w:shd w:val="clear" w:color="auto" w:fill="D9D9D9" w:themeFill="background1" w:themeFillShade="D9"/>
            <w:vAlign w:val="center"/>
          </w:tcPr>
          <w:p w:rsidR="00403CD6" w:rsidRDefault="00E91A59">
            <w:pPr>
              <w:pStyle w:val="af2"/>
              <w:spacing w:afterLines="0" w:line="240" w:lineRule="auto"/>
              <w:ind w:firstLineChars="0" w:firstLine="0"/>
              <w:jc w:val="center"/>
              <w:rPr>
                <w:rFonts w:eastAsiaTheme="minorEastAsia"/>
                <w:bCs/>
                <w:sz w:val="18"/>
                <w:szCs w:val="18"/>
              </w:rPr>
            </w:pPr>
            <w:r>
              <w:rPr>
                <w:rFonts w:eastAsiaTheme="minorEastAsia"/>
                <w:bCs/>
                <w:sz w:val="18"/>
                <w:szCs w:val="18"/>
              </w:rPr>
              <w:lastRenderedPageBreak/>
              <w:t>类别</w:t>
            </w:r>
          </w:p>
        </w:tc>
        <w:tc>
          <w:tcPr>
            <w:tcW w:w="1091" w:type="pct"/>
            <w:shd w:val="clear" w:color="auto" w:fill="D9D9D9" w:themeFill="background1" w:themeFillShade="D9"/>
            <w:vAlign w:val="center"/>
          </w:tcPr>
          <w:p w:rsidR="00403CD6" w:rsidRDefault="00E91A59">
            <w:pPr>
              <w:pStyle w:val="af2"/>
              <w:spacing w:afterLines="0" w:line="240" w:lineRule="auto"/>
              <w:ind w:firstLineChars="0" w:firstLine="0"/>
              <w:jc w:val="center"/>
              <w:rPr>
                <w:rFonts w:eastAsiaTheme="minorEastAsia"/>
                <w:bCs/>
                <w:sz w:val="18"/>
                <w:szCs w:val="18"/>
              </w:rPr>
            </w:pPr>
            <w:r>
              <w:rPr>
                <w:rFonts w:eastAsiaTheme="minorEastAsia"/>
                <w:bCs/>
                <w:sz w:val="18"/>
                <w:szCs w:val="18"/>
              </w:rPr>
              <w:t>使用寿命</w:t>
            </w:r>
          </w:p>
        </w:tc>
        <w:tc>
          <w:tcPr>
            <w:tcW w:w="1092" w:type="pct"/>
            <w:shd w:val="clear" w:color="auto" w:fill="D9D9D9" w:themeFill="background1" w:themeFillShade="D9"/>
            <w:vAlign w:val="center"/>
          </w:tcPr>
          <w:p w:rsidR="00403CD6" w:rsidRDefault="00E91A59">
            <w:pPr>
              <w:pStyle w:val="af2"/>
              <w:spacing w:afterLines="0" w:line="240" w:lineRule="auto"/>
              <w:ind w:firstLineChars="0" w:firstLine="0"/>
              <w:jc w:val="center"/>
              <w:rPr>
                <w:rFonts w:eastAsiaTheme="minorEastAsia"/>
                <w:bCs/>
                <w:sz w:val="18"/>
                <w:szCs w:val="18"/>
              </w:rPr>
            </w:pPr>
            <w:r>
              <w:rPr>
                <w:rFonts w:eastAsiaTheme="minorEastAsia" w:hint="eastAsia"/>
                <w:bCs/>
                <w:sz w:val="18"/>
                <w:szCs w:val="18"/>
              </w:rPr>
              <w:t>使用寿命的确定依据</w:t>
            </w:r>
          </w:p>
        </w:tc>
        <w:tc>
          <w:tcPr>
            <w:tcW w:w="1092" w:type="pct"/>
            <w:shd w:val="clear" w:color="auto" w:fill="D9D9D9" w:themeFill="background1" w:themeFillShade="D9"/>
            <w:vAlign w:val="center"/>
          </w:tcPr>
          <w:p w:rsidR="00403CD6" w:rsidRDefault="00E91A59">
            <w:pPr>
              <w:pStyle w:val="af2"/>
              <w:spacing w:afterLines="0" w:line="240" w:lineRule="auto"/>
              <w:ind w:firstLineChars="0" w:firstLine="0"/>
              <w:jc w:val="center"/>
              <w:rPr>
                <w:rFonts w:eastAsiaTheme="minorEastAsia"/>
                <w:bCs/>
                <w:sz w:val="18"/>
                <w:szCs w:val="18"/>
              </w:rPr>
            </w:pPr>
            <w:r>
              <w:rPr>
                <w:rFonts w:eastAsiaTheme="minorEastAsia"/>
                <w:bCs/>
                <w:sz w:val="18"/>
                <w:szCs w:val="18"/>
              </w:rPr>
              <w:t>摊销方法</w:t>
            </w:r>
          </w:p>
        </w:tc>
        <w:tc>
          <w:tcPr>
            <w:tcW w:w="851" w:type="pct"/>
            <w:shd w:val="clear" w:color="auto" w:fill="D9D9D9" w:themeFill="background1" w:themeFillShade="D9"/>
            <w:vAlign w:val="center"/>
          </w:tcPr>
          <w:p w:rsidR="00403CD6" w:rsidRDefault="00E91A59">
            <w:pPr>
              <w:pStyle w:val="af2"/>
              <w:spacing w:afterLines="0" w:line="240" w:lineRule="auto"/>
              <w:ind w:firstLineChars="0" w:firstLine="0"/>
              <w:jc w:val="center"/>
              <w:rPr>
                <w:rFonts w:eastAsiaTheme="minorEastAsia"/>
                <w:bCs/>
                <w:sz w:val="18"/>
                <w:szCs w:val="18"/>
              </w:rPr>
            </w:pPr>
            <w:r>
              <w:rPr>
                <w:rFonts w:eastAsiaTheme="minorEastAsia"/>
                <w:bCs/>
                <w:sz w:val="18"/>
                <w:szCs w:val="18"/>
              </w:rPr>
              <w:t>备注</w:t>
            </w:r>
          </w:p>
        </w:tc>
      </w:tr>
      <w:tr w:rsidR="00403CD6">
        <w:trPr>
          <w:cantSplit/>
          <w:trHeight w:val="284"/>
          <w:jc w:val="center"/>
        </w:trPr>
        <w:tc>
          <w:tcPr>
            <w:tcW w:w="8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土地使用权</w:t>
            </w:r>
          </w:p>
        </w:tc>
        <w:tc>
          <w:tcPr>
            <w:tcW w:w="109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50-70</w:t>
            </w:r>
          </w:p>
        </w:tc>
        <w:tc>
          <w:tcPr>
            <w:tcW w:w="1092" w:type="pct"/>
            <w:vAlign w:val="center"/>
          </w:tcPr>
          <w:p w:rsidR="00403CD6" w:rsidRDefault="00E91A59">
            <w:pPr>
              <w:jc w:val="center"/>
              <w:rPr>
                <w:rFonts w:ascii="Times New Roman" w:hAnsi="Times New Roman" w:cs="Times New Roman"/>
                <w:sz w:val="18"/>
                <w:szCs w:val="18"/>
              </w:rPr>
            </w:pPr>
            <w:proofErr w:type="gramStart"/>
            <w:r>
              <w:rPr>
                <w:rFonts w:ascii="Times New Roman" w:hAnsi="Times New Roman" w:cs="Times New Roman" w:hint="eastAsia"/>
                <w:sz w:val="18"/>
                <w:szCs w:val="18"/>
              </w:rPr>
              <w:t>证载年限</w:t>
            </w:r>
            <w:proofErr w:type="gramEnd"/>
          </w:p>
        </w:tc>
        <w:tc>
          <w:tcPr>
            <w:tcW w:w="10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直线法</w:t>
            </w:r>
          </w:p>
        </w:tc>
        <w:tc>
          <w:tcPr>
            <w:tcW w:w="851"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8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软件</w:t>
            </w:r>
          </w:p>
        </w:tc>
        <w:tc>
          <w:tcPr>
            <w:tcW w:w="109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5-10</w:t>
            </w:r>
          </w:p>
        </w:tc>
        <w:tc>
          <w:tcPr>
            <w:tcW w:w="109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估计软件更换年限</w:t>
            </w:r>
          </w:p>
        </w:tc>
        <w:tc>
          <w:tcPr>
            <w:tcW w:w="10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直线法</w:t>
            </w:r>
          </w:p>
        </w:tc>
        <w:tc>
          <w:tcPr>
            <w:tcW w:w="851"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8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专利权</w:t>
            </w:r>
          </w:p>
        </w:tc>
        <w:tc>
          <w:tcPr>
            <w:tcW w:w="109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w:t>
            </w:r>
            <w:r>
              <w:rPr>
                <w:rFonts w:ascii="Times New Roman" w:hAnsi="Times New Roman" w:cs="Times New Roman"/>
                <w:sz w:val="18"/>
                <w:szCs w:val="18"/>
              </w:rPr>
              <w:t>20</w:t>
            </w:r>
          </w:p>
        </w:tc>
        <w:tc>
          <w:tcPr>
            <w:tcW w:w="109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购买的使用年限</w:t>
            </w:r>
          </w:p>
        </w:tc>
        <w:tc>
          <w:tcPr>
            <w:tcW w:w="10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直线法</w:t>
            </w:r>
          </w:p>
        </w:tc>
        <w:tc>
          <w:tcPr>
            <w:tcW w:w="851"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8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他项权证</w:t>
            </w:r>
          </w:p>
        </w:tc>
        <w:tc>
          <w:tcPr>
            <w:tcW w:w="109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3</w:t>
            </w:r>
          </w:p>
        </w:tc>
        <w:tc>
          <w:tcPr>
            <w:tcW w:w="1092" w:type="pct"/>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购买的使用年限</w:t>
            </w:r>
          </w:p>
        </w:tc>
        <w:tc>
          <w:tcPr>
            <w:tcW w:w="10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直线法</w:t>
            </w:r>
          </w:p>
        </w:tc>
        <w:tc>
          <w:tcPr>
            <w:tcW w:w="851" w:type="pct"/>
            <w:shd w:val="clear" w:color="auto" w:fill="auto"/>
            <w:vAlign w:val="center"/>
          </w:tcPr>
          <w:p w:rsidR="00403CD6" w:rsidRDefault="00403CD6">
            <w:pPr>
              <w:jc w:val="right"/>
              <w:rPr>
                <w:rFonts w:ascii="Times New Roman" w:hAnsi="Times New Roman" w:cs="Times New Roman"/>
                <w:sz w:val="18"/>
                <w:szCs w:val="18"/>
              </w:rPr>
            </w:pPr>
          </w:p>
        </w:tc>
      </w:tr>
    </w:tbl>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本公司于每年年度终了，对使用寿命有限的无形资产的使用寿命及摊销方法进行复核，与以前估计不同的，调整原先估计数，并按会计估计变更处理。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资产负债表日预计某项无形资产已经不能给企业带来未来经济利益的，将该项无形资产的账面价值全部转入当期损益。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无形资产计提资产减值方法见附注五、</w:t>
      </w:r>
      <w:r>
        <w:rPr>
          <w:rFonts w:ascii="Times New Roman" w:hAnsi="Times New Roman" w:cs="Times New Roman" w:hint="eastAsia"/>
          <w:sz w:val="18"/>
          <w:szCs w:val="18"/>
        </w:rPr>
        <w:t>23</w:t>
      </w:r>
      <w:r>
        <w:rPr>
          <w:rFonts w:ascii="Times New Roman" w:hAnsi="Times New Roman" w:cs="Times New Roman" w:hint="eastAsia"/>
          <w:sz w:val="18"/>
          <w:szCs w:val="18"/>
        </w:rPr>
        <w:t>。</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22</w:t>
      </w:r>
      <w:r>
        <w:rPr>
          <w:rFonts w:ascii="Times New Roman" w:eastAsiaTheme="minorEastAsia" w:hAnsi="Times New Roman" w:cs="Times New Roman" w:hint="eastAsia"/>
          <w:sz w:val="21"/>
        </w:rPr>
        <w:t>、研发支出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研发支出为公司研发活动直接相关的支出，包括研发人员职工薪酬、直接投入费用、折旧费用与长期待摊费用、设计费用、装备调试费、无形资产摊销费用、委托外部研究开发费用、其他费用等。其中研发人员的工资按照项目工时分摊计入研发支出。研发活动与其他生产经营活动共用设备、产线、场地按照工时占比、面积占比分配计入研发支出。</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本公司将内部研究开发项目的支出，区分为研究阶段支出和开发阶段支出。本公司所有研发支出于发生时计入当期损益。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23</w:t>
      </w:r>
      <w:r>
        <w:rPr>
          <w:rFonts w:ascii="Times New Roman" w:eastAsiaTheme="minorEastAsia" w:hAnsi="Times New Roman" w:cs="Times New Roman" w:hint="eastAsia"/>
          <w:sz w:val="21"/>
        </w:rPr>
        <w:t>、资产减值</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对子公司、联营企业和合营企业的长期股权投资、采用成本模式进行后续计量的投资性房地产、固定资产、在建工程、采用成本模式计量的生产性生物资产、使用权资产、无形资产、商誉等（存货、递延所得税资产、金融资产除外）的资产减值，按以下方法确定：</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于资产负债表</w:t>
      </w:r>
      <w:proofErr w:type="gramStart"/>
      <w:r>
        <w:rPr>
          <w:rFonts w:ascii="Times New Roman" w:hAnsi="Times New Roman" w:cs="Times New Roman" w:hint="eastAsia"/>
          <w:sz w:val="18"/>
          <w:szCs w:val="18"/>
        </w:rPr>
        <w:t>日判断</w:t>
      </w:r>
      <w:proofErr w:type="gramEnd"/>
      <w:r>
        <w:rPr>
          <w:rFonts w:ascii="Times New Roman" w:hAnsi="Times New Roman" w:cs="Times New Roman" w:hint="eastAsia"/>
          <w:sz w:val="18"/>
          <w:szCs w:val="18"/>
        </w:rPr>
        <w:t>资产是否存在可能发生减值的迹象，存在减值迹象的，本公司</w:t>
      </w:r>
      <w:proofErr w:type="gramStart"/>
      <w:r>
        <w:rPr>
          <w:rFonts w:ascii="Times New Roman" w:hAnsi="Times New Roman" w:cs="Times New Roman" w:hint="eastAsia"/>
          <w:sz w:val="18"/>
          <w:szCs w:val="18"/>
        </w:rPr>
        <w:t>将估计</w:t>
      </w:r>
      <w:proofErr w:type="gramEnd"/>
      <w:r>
        <w:rPr>
          <w:rFonts w:ascii="Times New Roman" w:hAnsi="Times New Roman" w:cs="Times New Roman" w:hint="eastAsia"/>
          <w:sz w:val="18"/>
          <w:szCs w:val="18"/>
        </w:rPr>
        <w:t>其可收回金额，进行减值测试。对因企业合并所形成的商誉、使用寿命不确定的无形资产和尚未达到预定用途的无形资产无论是否存在减值迹象，每年都进行减值测试。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可收回金额根据资产的公允价值减去处置费用后的净额与资产预计未来现金流量的现值两者之间较高者确定。本公司以单项资产为基础估计其可收回金额；难以对单项资产的可收回金额进行估计的，以该资产所属的资产组为基础确定资产组的可收回金额。资产组的认定，以资产</w:t>
      </w:r>
      <w:proofErr w:type="gramStart"/>
      <w:r>
        <w:rPr>
          <w:rFonts w:ascii="Times New Roman" w:hAnsi="Times New Roman" w:cs="Times New Roman" w:hint="eastAsia"/>
          <w:sz w:val="18"/>
          <w:szCs w:val="18"/>
        </w:rPr>
        <w:t>组产生</w:t>
      </w:r>
      <w:proofErr w:type="gramEnd"/>
      <w:r>
        <w:rPr>
          <w:rFonts w:ascii="Times New Roman" w:hAnsi="Times New Roman" w:cs="Times New Roman" w:hint="eastAsia"/>
          <w:sz w:val="18"/>
          <w:szCs w:val="18"/>
        </w:rPr>
        <w:t>的主要现金流入是否独立于其他资产或者资产组的现金流入为依据。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当资产或资产组的可收回金额低于其账面价值时，本公司将其账面价值</w:t>
      </w:r>
      <w:proofErr w:type="gramStart"/>
      <w:r>
        <w:rPr>
          <w:rFonts w:ascii="Times New Roman" w:hAnsi="Times New Roman" w:cs="Times New Roman" w:hint="eastAsia"/>
          <w:sz w:val="18"/>
          <w:szCs w:val="18"/>
        </w:rPr>
        <w:t>减记至</w:t>
      </w:r>
      <w:proofErr w:type="gramEnd"/>
      <w:r>
        <w:rPr>
          <w:rFonts w:ascii="Times New Roman" w:hAnsi="Times New Roman" w:cs="Times New Roman" w:hint="eastAsia"/>
          <w:sz w:val="18"/>
          <w:szCs w:val="18"/>
        </w:rPr>
        <w:t>可收回金额，</w:t>
      </w:r>
      <w:proofErr w:type="gramStart"/>
      <w:r>
        <w:rPr>
          <w:rFonts w:ascii="Times New Roman" w:hAnsi="Times New Roman" w:cs="Times New Roman" w:hint="eastAsia"/>
          <w:sz w:val="18"/>
          <w:szCs w:val="18"/>
        </w:rPr>
        <w:t>减记的</w:t>
      </w:r>
      <w:proofErr w:type="gramEnd"/>
      <w:r>
        <w:rPr>
          <w:rFonts w:ascii="Times New Roman" w:hAnsi="Times New Roman" w:cs="Times New Roman" w:hint="eastAsia"/>
          <w:sz w:val="18"/>
          <w:szCs w:val="18"/>
        </w:rPr>
        <w:t>金额计入当期损益，同时计提相应的资产减值准备。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就商誉的减值测试而言，对于因企业合并形成的商誉的账面价值，自购买日起按照合理的方法分摊至相关的资产组；难以分摊至相关的资产组的，将其分摊至相关的资产组组合。相关的资产组或资产组组合，是能够从企业合并的协同效应中受益的资产组或者资产组组合，且不大于本公司确定的报告分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减值测试时，如与商誉相关的资产组或者资产组组合存在减值迹象的，首先对不包含商誉的资产组或者资产组组合进行减值测试，计算可收回金额，确认相应的减值损失。然后对包含商誉的资产组或者资产组组合进行减值测试，比较其账面价值与可收回金额，如可收回金额低于账面价值的，确认商誉的减值损失。</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资产减值损失一经确认，在以后会计期间不再转回。</w:t>
      </w:r>
    </w:p>
    <w:p w:rsidR="00403CD6" w:rsidRDefault="00E91A59">
      <w:pPr>
        <w:pStyle w:val="30"/>
        <w:spacing w:line="280" w:lineRule="exact"/>
        <w:jc w:val="left"/>
        <w:rPr>
          <w:rFonts w:ascii="Times New Roman" w:eastAsiaTheme="minorEastAsia" w:hAnsi="Times New Roman" w:cs="Times New Roman"/>
          <w:sz w:val="21"/>
        </w:rPr>
      </w:pPr>
      <w:bookmarkStart w:id="37" w:name="_Toc989139"/>
      <w:bookmarkEnd w:id="36"/>
      <w:r>
        <w:rPr>
          <w:rFonts w:ascii="Times New Roman" w:eastAsiaTheme="minorEastAsia" w:hAnsi="Times New Roman" w:cs="Times New Roman" w:hint="eastAsia"/>
          <w:sz w:val="21"/>
        </w:rPr>
        <w:t>24</w:t>
      </w:r>
      <w:r>
        <w:rPr>
          <w:rFonts w:ascii="Times New Roman" w:eastAsiaTheme="minorEastAsia" w:hAnsi="Times New Roman" w:cs="Times New Roman"/>
          <w:sz w:val="21"/>
        </w:rPr>
        <w:t>、长期待摊费用</w:t>
      </w:r>
      <w:bookmarkEnd w:id="37"/>
    </w:p>
    <w:p w:rsidR="00403CD6" w:rsidRDefault="00E91A59">
      <w:pPr>
        <w:snapToGrid w:val="0"/>
        <w:spacing w:afterLines="90" w:after="280"/>
        <w:ind w:firstLineChars="200" w:firstLine="360"/>
        <w:rPr>
          <w:rFonts w:ascii="Times New Roman" w:hAnsi="Times New Roman" w:cs="Times New Roman"/>
          <w:sz w:val="18"/>
          <w:szCs w:val="18"/>
        </w:rPr>
      </w:pPr>
      <w:bookmarkStart w:id="38" w:name="_Toc989140"/>
      <w:r>
        <w:rPr>
          <w:rFonts w:ascii="Times New Roman" w:hAnsi="Times New Roman" w:cs="Times New Roman" w:hint="eastAsia"/>
          <w:sz w:val="18"/>
          <w:szCs w:val="18"/>
        </w:rPr>
        <w:t>本公司发生的长期待摊费用按实际成本计价，并按预计受益期限平均摊销。对不能使以后会计期间受益的长期待摊费用项目，其摊余价值全部计入当期损益。</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lastRenderedPageBreak/>
        <w:t>25</w:t>
      </w:r>
      <w:r>
        <w:rPr>
          <w:rFonts w:ascii="Times New Roman" w:eastAsiaTheme="minorEastAsia" w:hAnsi="Times New Roman" w:cs="Times New Roman"/>
          <w:sz w:val="21"/>
        </w:rPr>
        <w:t>、合同负债</w:t>
      </w:r>
      <w:bookmarkEnd w:id="38"/>
    </w:p>
    <w:p w:rsidR="00403CD6" w:rsidRDefault="00E91A59">
      <w:pPr>
        <w:autoSpaceDE w:val="0"/>
        <w:autoSpaceDN w:val="0"/>
        <w:adjustRightInd w:val="0"/>
        <w:ind w:firstLine="360"/>
        <w:rPr>
          <w:rFonts w:ascii="Times New Roman" w:hAnsi="Times New Roman" w:cs="Times New Roman"/>
          <w:kern w:val="0"/>
          <w:sz w:val="18"/>
          <w:szCs w:val="18"/>
          <w:lang w:val="zh-CN"/>
        </w:rPr>
      </w:pPr>
      <w:bookmarkStart w:id="39" w:name="_Toc989141"/>
      <w:r>
        <w:rPr>
          <w:rFonts w:ascii="Times New Roman" w:hAnsi="Times New Roman" w:cs="Times New Roman" w:hint="eastAsia"/>
          <w:kern w:val="0"/>
          <w:sz w:val="18"/>
          <w:szCs w:val="18"/>
          <w:lang w:val="zh-CN"/>
        </w:rPr>
        <w:t>合同负债，是指本公司已收或应收客户对价而应向客户转让商品的义务。如果在本公司向客户转让商品之前，客户已经支付了合同对价或本公司已经取得了无条件收款权，本公司在客户实际支付款项和到期应支付</w:t>
      </w:r>
      <w:proofErr w:type="gramStart"/>
      <w:r>
        <w:rPr>
          <w:rFonts w:ascii="Times New Roman" w:hAnsi="Times New Roman" w:cs="Times New Roman" w:hint="eastAsia"/>
          <w:kern w:val="0"/>
          <w:sz w:val="18"/>
          <w:szCs w:val="18"/>
          <w:lang w:val="zh-CN"/>
        </w:rPr>
        <w:t>款项孰早时点</w:t>
      </w:r>
      <w:proofErr w:type="gramEnd"/>
      <w:r>
        <w:rPr>
          <w:rFonts w:ascii="Times New Roman" w:hAnsi="Times New Roman" w:cs="Times New Roman" w:hint="eastAsia"/>
          <w:kern w:val="0"/>
          <w:sz w:val="18"/>
          <w:szCs w:val="18"/>
          <w:lang w:val="zh-CN"/>
        </w:rPr>
        <w:t>，将该已收或应收款项列示为合同负债。同一合同下的合同资产和合同负债以净额列示，不同合同下的合同资产和合同负债不予</w:t>
      </w:r>
      <w:proofErr w:type="gramStart"/>
      <w:r>
        <w:rPr>
          <w:rFonts w:ascii="Times New Roman" w:hAnsi="Times New Roman" w:cs="Times New Roman" w:hint="eastAsia"/>
          <w:kern w:val="0"/>
          <w:sz w:val="18"/>
          <w:szCs w:val="18"/>
          <w:lang w:val="zh-CN"/>
        </w:rPr>
        <w:t>抵销</w:t>
      </w:r>
      <w:proofErr w:type="gramEnd"/>
      <w:r>
        <w:rPr>
          <w:rFonts w:ascii="Times New Roman" w:hAnsi="Times New Roman" w:cs="Times New Roman" w:hint="eastAsia"/>
          <w:kern w:val="0"/>
          <w:sz w:val="18"/>
          <w:szCs w:val="18"/>
          <w:lang w:val="zh-CN"/>
        </w:rPr>
        <w:t>。</w:t>
      </w:r>
    </w:p>
    <w:p w:rsidR="00403CD6" w:rsidRDefault="00E91A59">
      <w:pPr>
        <w:pStyle w:val="30"/>
        <w:spacing w:line="280" w:lineRule="exact"/>
        <w:jc w:val="left"/>
        <w:rPr>
          <w:rFonts w:ascii="Times New Roman" w:eastAsiaTheme="minorEastAsia" w:hAnsi="Times New Roman" w:cs="Times New Roman"/>
          <w:sz w:val="21"/>
        </w:rPr>
      </w:pPr>
      <w:bookmarkStart w:id="40" w:name="_Toc989144"/>
      <w:bookmarkStart w:id="41" w:name="_Toc989146"/>
      <w:bookmarkEnd w:id="39"/>
      <w:r>
        <w:rPr>
          <w:rFonts w:ascii="Times New Roman" w:eastAsiaTheme="minorEastAsia" w:hAnsi="Times New Roman" w:cs="Times New Roman" w:hint="eastAsia"/>
          <w:sz w:val="21"/>
        </w:rPr>
        <w:t>26</w:t>
      </w:r>
      <w:r>
        <w:rPr>
          <w:rFonts w:ascii="Times New Roman" w:eastAsiaTheme="minorEastAsia" w:hAnsi="Times New Roman" w:cs="Times New Roman" w:hint="eastAsia"/>
          <w:sz w:val="21"/>
        </w:rPr>
        <w:t>、职工薪</w:t>
      </w:r>
      <w:proofErr w:type="gramStart"/>
      <w:r>
        <w:rPr>
          <w:rFonts w:ascii="Times New Roman" w:eastAsiaTheme="minorEastAsia" w:hAnsi="Times New Roman" w:cs="Times New Roman" w:hint="eastAsia"/>
          <w:sz w:val="21"/>
        </w:rPr>
        <w:t>酬</w:t>
      </w:r>
      <w:bookmarkEnd w:id="40"/>
      <w:proofErr w:type="gramEnd"/>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）职工薪酬的范围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职工薪酬，是指企业为获得职工提供的服务或解除劳动关系而给予的各种形式的报酬或补偿。职工薪</w:t>
      </w:r>
      <w:proofErr w:type="gramStart"/>
      <w:r>
        <w:rPr>
          <w:rFonts w:ascii="Times New Roman" w:hAnsi="Times New Roman" w:cs="Times New Roman" w:hint="eastAsia"/>
          <w:kern w:val="0"/>
          <w:sz w:val="18"/>
          <w:szCs w:val="18"/>
          <w:lang w:val="zh-CN"/>
        </w:rPr>
        <w:t>酬</w:t>
      </w:r>
      <w:proofErr w:type="gramEnd"/>
      <w:r>
        <w:rPr>
          <w:rFonts w:ascii="Times New Roman" w:hAnsi="Times New Roman" w:cs="Times New Roman" w:hint="eastAsia"/>
          <w:kern w:val="0"/>
          <w:sz w:val="18"/>
          <w:szCs w:val="18"/>
          <w:lang w:val="zh-CN"/>
        </w:rPr>
        <w:t>包括短期薪酬、离职后福利、辞退福利和其他长期职工福利。企业提供给职工配偶、子女、受赡养人、已故员工遗属及其他受益人等的福利，也属于职工薪酬。</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根据流动性，职工薪</w:t>
      </w:r>
      <w:proofErr w:type="gramStart"/>
      <w:r>
        <w:rPr>
          <w:rFonts w:ascii="Times New Roman" w:hAnsi="Times New Roman" w:cs="Times New Roman" w:hint="eastAsia"/>
          <w:kern w:val="0"/>
          <w:sz w:val="18"/>
          <w:szCs w:val="18"/>
          <w:lang w:val="zh-CN"/>
        </w:rPr>
        <w:t>酬</w:t>
      </w:r>
      <w:proofErr w:type="gramEnd"/>
      <w:r>
        <w:rPr>
          <w:rFonts w:ascii="Times New Roman" w:hAnsi="Times New Roman" w:cs="Times New Roman" w:hint="eastAsia"/>
          <w:kern w:val="0"/>
          <w:sz w:val="18"/>
          <w:szCs w:val="18"/>
          <w:lang w:val="zh-CN"/>
        </w:rPr>
        <w:t>分别列示于资产负债表的“应付职工薪酬”项目和“长期应付职工薪酬”项目。</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）短期薪酬</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在职工提供服务的会计期间，将实际发生的职工工资、奖金、按规定的基准和比例为职工缴纳的医疗保险费、工伤保险费和生育保险费等社会保险费和住房公积金，确认为负债，并计入当期损益或相关资产成本。</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3</w:t>
      </w:r>
      <w:r>
        <w:rPr>
          <w:rFonts w:ascii="Times New Roman" w:hAnsi="Times New Roman" w:cs="Times New Roman" w:hint="eastAsia"/>
          <w:kern w:val="0"/>
          <w:sz w:val="18"/>
          <w:szCs w:val="18"/>
          <w:lang w:val="zh-CN"/>
        </w:rPr>
        <w:t>）离职后福利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离职后福利计划包括设定提存计划和设定受益计划。其中，设定提存计划，是指向独立的基金缴存固定费用后，企业不再承担进一步支付义务的离职后福利计划；设定受益计划，是指除设定提存计划以外的离职后福利计划。</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设定提存计划</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设定提存计划包括基本养老保险、失业保险以及企业年金计划（如有）等。</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在职工提供服务的会计期间，根据设定提存计划计算的应缴存金额确认为负债，并计入当期损益或相关资产成本。</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4</w:t>
      </w:r>
      <w:r>
        <w:rPr>
          <w:rFonts w:ascii="Times New Roman" w:hAnsi="Times New Roman" w:cs="Times New Roman" w:hint="eastAsia"/>
          <w:kern w:val="0"/>
          <w:sz w:val="18"/>
          <w:szCs w:val="18"/>
          <w:lang w:val="zh-CN"/>
        </w:rPr>
        <w:t>）辞退福利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本公司向职工提供辞退福利的，在下列两者</w:t>
      </w:r>
      <w:proofErr w:type="gramStart"/>
      <w:r>
        <w:rPr>
          <w:rFonts w:ascii="Times New Roman" w:hAnsi="Times New Roman" w:cs="Times New Roman" w:hint="eastAsia"/>
          <w:kern w:val="0"/>
          <w:sz w:val="18"/>
          <w:szCs w:val="18"/>
          <w:lang w:val="zh-CN"/>
        </w:rPr>
        <w:t>孰</w:t>
      </w:r>
      <w:proofErr w:type="gramEnd"/>
      <w:r>
        <w:rPr>
          <w:rFonts w:ascii="Times New Roman" w:hAnsi="Times New Roman" w:cs="Times New Roman" w:hint="eastAsia"/>
          <w:kern w:val="0"/>
          <w:sz w:val="18"/>
          <w:szCs w:val="18"/>
          <w:lang w:val="zh-CN"/>
        </w:rPr>
        <w:t>早日确认辞退福利产生的职工薪</w:t>
      </w:r>
      <w:proofErr w:type="gramStart"/>
      <w:r>
        <w:rPr>
          <w:rFonts w:ascii="Times New Roman" w:hAnsi="Times New Roman" w:cs="Times New Roman" w:hint="eastAsia"/>
          <w:kern w:val="0"/>
          <w:sz w:val="18"/>
          <w:szCs w:val="18"/>
          <w:lang w:val="zh-CN"/>
        </w:rPr>
        <w:t>酬</w:t>
      </w:r>
      <w:proofErr w:type="gramEnd"/>
      <w:r>
        <w:rPr>
          <w:rFonts w:ascii="Times New Roman" w:hAnsi="Times New Roman" w:cs="Times New Roman" w:hint="eastAsia"/>
          <w:kern w:val="0"/>
          <w:sz w:val="18"/>
          <w:szCs w:val="18"/>
          <w:lang w:val="zh-CN"/>
        </w:rPr>
        <w:t>负债，并计入当期损益：本公司不能单方面撤回因解除劳动关系计划或裁减建议所提供的辞退福利时；本公司确认与涉及支付辞退福利的重组相关的成本或费用时。</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实行职工内部退休计划的，在正式退休日之前的经济补偿，属于辞退福利，</w:t>
      </w:r>
      <w:proofErr w:type="gramStart"/>
      <w:r>
        <w:rPr>
          <w:rFonts w:ascii="Times New Roman" w:hAnsi="Times New Roman" w:cs="Times New Roman" w:hint="eastAsia"/>
          <w:kern w:val="0"/>
          <w:sz w:val="18"/>
          <w:szCs w:val="18"/>
          <w:lang w:val="zh-CN"/>
        </w:rPr>
        <w:t>自职工</w:t>
      </w:r>
      <w:proofErr w:type="gramEnd"/>
      <w:r>
        <w:rPr>
          <w:rFonts w:ascii="Times New Roman" w:hAnsi="Times New Roman" w:cs="Times New Roman" w:hint="eastAsia"/>
          <w:kern w:val="0"/>
          <w:sz w:val="18"/>
          <w:szCs w:val="18"/>
          <w:lang w:val="zh-CN"/>
        </w:rPr>
        <w:t>停止提供服务日至正常退休日期间，</w:t>
      </w:r>
      <w:proofErr w:type="gramStart"/>
      <w:r>
        <w:rPr>
          <w:rFonts w:ascii="Times New Roman" w:hAnsi="Times New Roman" w:cs="Times New Roman" w:hint="eastAsia"/>
          <w:kern w:val="0"/>
          <w:sz w:val="18"/>
          <w:szCs w:val="18"/>
          <w:lang w:val="zh-CN"/>
        </w:rPr>
        <w:t>拟支付</w:t>
      </w:r>
      <w:proofErr w:type="gramEnd"/>
      <w:r>
        <w:rPr>
          <w:rFonts w:ascii="Times New Roman" w:hAnsi="Times New Roman" w:cs="Times New Roman" w:hint="eastAsia"/>
          <w:kern w:val="0"/>
          <w:sz w:val="18"/>
          <w:szCs w:val="18"/>
          <w:lang w:val="zh-CN"/>
        </w:rPr>
        <w:t>的内退职工工资和缴纳的社会保险费等一次性计入当期损益。正式退休日期之后的经济补偿（如正常养老退休金），按照离职后福利处理。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5</w:t>
      </w:r>
      <w:r>
        <w:rPr>
          <w:rFonts w:ascii="Times New Roman" w:hAnsi="Times New Roman" w:cs="Times New Roman" w:hint="eastAsia"/>
          <w:kern w:val="0"/>
          <w:sz w:val="18"/>
          <w:szCs w:val="18"/>
          <w:lang w:val="zh-CN"/>
        </w:rPr>
        <w:t>）其他长期福利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本公司向职工提供的其他长期职工福利，符合设定提存计划条件的，按照上述关于设定提存计划的有关规定进行处理。符合设定受益计划的，按照上述关于设定受益计划的有关规定进行处理，但相关职工薪</w:t>
      </w:r>
      <w:proofErr w:type="gramStart"/>
      <w:r>
        <w:rPr>
          <w:rFonts w:ascii="Times New Roman" w:hAnsi="Times New Roman" w:cs="Times New Roman" w:hint="eastAsia"/>
          <w:kern w:val="0"/>
          <w:sz w:val="18"/>
          <w:szCs w:val="18"/>
          <w:lang w:val="zh-CN"/>
        </w:rPr>
        <w:t>酬</w:t>
      </w:r>
      <w:proofErr w:type="gramEnd"/>
      <w:r>
        <w:rPr>
          <w:rFonts w:ascii="Times New Roman" w:hAnsi="Times New Roman" w:cs="Times New Roman" w:hint="eastAsia"/>
          <w:kern w:val="0"/>
          <w:sz w:val="18"/>
          <w:szCs w:val="18"/>
          <w:lang w:val="zh-CN"/>
        </w:rPr>
        <w:t>成本中“重新计量设定受益计划净负债或净资产所产生的变动”部分计入当期损益或相关资产成本。</w:t>
      </w:r>
    </w:p>
    <w:p w:rsidR="00403CD6" w:rsidRDefault="00E91A59">
      <w:pPr>
        <w:pStyle w:val="30"/>
        <w:spacing w:line="280" w:lineRule="exact"/>
        <w:jc w:val="left"/>
        <w:rPr>
          <w:rFonts w:ascii="Times New Roman" w:eastAsiaTheme="minorEastAsia" w:hAnsi="Times New Roman" w:cs="Times New Roman"/>
          <w:sz w:val="21"/>
        </w:rPr>
      </w:pPr>
      <w:bookmarkStart w:id="42" w:name="_Toc989149"/>
      <w:bookmarkEnd w:id="41"/>
      <w:r>
        <w:rPr>
          <w:rFonts w:ascii="Times New Roman" w:eastAsiaTheme="minorEastAsia" w:hAnsi="Times New Roman" w:cs="Times New Roman" w:hint="eastAsia"/>
          <w:sz w:val="21"/>
        </w:rPr>
        <w:t>27</w:t>
      </w:r>
      <w:r>
        <w:rPr>
          <w:rFonts w:ascii="Times New Roman" w:eastAsiaTheme="minorEastAsia" w:hAnsi="Times New Roman" w:cs="Times New Roman" w:hint="eastAsia"/>
          <w:sz w:val="21"/>
        </w:rPr>
        <w:t>、预计负债</w:t>
      </w:r>
      <w:bookmarkEnd w:id="42"/>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如果与或有事项相关的义务同时符合以下条件，本公司将其确认为预计负债：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）该义务是本公司承担的现时义务；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）该义务的履行很可能导致经济利益流出本公司；</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3</w:t>
      </w:r>
      <w:r>
        <w:rPr>
          <w:rFonts w:ascii="Times New Roman" w:hAnsi="Times New Roman" w:cs="Times New Roman" w:hint="eastAsia"/>
          <w:kern w:val="0"/>
          <w:sz w:val="18"/>
          <w:szCs w:val="18"/>
          <w:lang w:val="zh-CN"/>
        </w:rPr>
        <w:t>）该义务的金额能够可靠地计量。</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预计负债按照履行相关现时义务所需支出的最佳估计数进行初始计量，并综合考虑与或有事项有关的风险、不确定性和货币时间价值等因素。货币时间价值影响重大的，通过对相关未来现金流出进行折现后确定最佳估计数。本公司于资产负债表日对预计负债的账面价值进行复核，并对账面价值进行调整以反映当前最佳估计数。</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如果清偿已确认预计负债所需支出全部或部分预期由第三方或其他方补偿，则补偿金额只能在基本确定能收到时，作为资产单独确认。确认的补偿金额不超过所确认负债的账面价值。</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lastRenderedPageBreak/>
        <w:t>28</w:t>
      </w:r>
      <w:r>
        <w:rPr>
          <w:rFonts w:ascii="Times New Roman" w:eastAsiaTheme="minorEastAsia" w:hAnsi="Times New Roman" w:cs="Times New Roman" w:hint="eastAsia"/>
          <w:sz w:val="21"/>
        </w:rPr>
        <w:t>、</w:t>
      </w:r>
      <w:r>
        <w:rPr>
          <w:rFonts w:ascii="Times New Roman" w:eastAsiaTheme="minorEastAsia" w:hAnsi="Times New Roman" w:cs="Times New Roman"/>
          <w:sz w:val="21"/>
        </w:rPr>
        <w:t>股份支付</w:t>
      </w:r>
      <w:r>
        <w:rPr>
          <w:rFonts w:ascii="Times New Roman" w:eastAsiaTheme="minorEastAsia" w:hAnsi="Times New Roman" w:cs="Times New Roman" w:hint="eastAsia"/>
          <w:sz w:val="21"/>
        </w:rPr>
        <w:t>及权益工具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w:t>
      </w:r>
      <w:r>
        <w:rPr>
          <w:rFonts w:ascii="Times New Roman" w:hAnsi="Times New Roman" w:cs="Times New Roman"/>
          <w:sz w:val="18"/>
          <w:szCs w:val="18"/>
        </w:rPr>
        <w:t>股份支付的种类</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本公司股份支付分为以权益结算的股份支付和以现金结算的股份支付。</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w:t>
      </w:r>
      <w:r>
        <w:rPr>
          <w:rFonts w:ascii="Times New Roman" w:hAnsi="Times New Roman" w:cs="Times New Roman"/>
          <w:sz w:val="18"/>
          <w:szCs w:val="18"/>
        </w:rPr>
        <w:t>权益工具公允价值的确定方法</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对于授予的存在活跃市场的期权等权益工具，按照活跃市场中的报价确定其公允价值。对于授予的不存在活跃市场的期权等权益工具，采用期权定价模型等确定其公允价值。选用的期权定价模型考虑以下因素：</w:t>
      </w:r>
      <w:r>
        <w:rPr>
          <w:rFonts w:ascii="Times New Roman" w:hAnsi="Times New Roman" w:cs="Times New Roman"/>
          <w:sz w:val="18"/>
          <w:szCs w:val="18"/>
        </w:rPr>
        <w:t>A</w:t>
      </w:r>
      <w:r>
        <w:rPr>
          <w:rFonts w:ascii="Times New Roman" w:hAnsi="Times New Roman" w:cs="Times New Roman"/>
          <w:sz w:val="18"/>
          <w:szCs w:val="18"/>
        </w:rPr>
        <w:t>、期权的行权价格；</w:t>
      </w:r>
      <w:r>
        <w:rPr>
          <w:rFonts w:ascii="Times New Roman" w:hAnsi="Times New Roman" w:cs="Times New Roman"/>
          <w:sz w:val="18"/>
          <w:szCs w:val="18"/>
        </w:rPr>
        <w:t>B</w:t>
      </w:r>
      <w:r>
        <w:rPr>
          <w:rFonts w:ascii="Times New Roman" w:hAnsi="Times New Roman" w:cs="Times New Roman"/>
          <w:sz w:val="18"/>
          <w:szCs w:val="18"/>
        </w:rPr>
        <w:t>、期权的有效期；</w:t>
      </w:r>
      <w:r>
        <w:rPr>
          <w:rFonts w:ascii="Times New Roman" w:hAnsi="Times New Roman" w:cs="Times New Roman"/>
          <w:sz w:val="18"/>
          <w:szCs w:val="18"/>
        </w:rPr>
        <w:t>C</w:t>
      </w:r>
      <w:r>
        <w:rPr>
          <w:rFonts w:ascii="Times New Roman" w:hAnsi="Times New Roman" w:cs="Times New Roman"/>
          <w:sz w:val="18"/>
          <w:szCs w:val="18"/>
        </w:rPr>
        <w:t>、标的股份的现行价格；</w:t>
      </w:r>
      <w:r>
        <w:rPr>
          <w:rFonts w:ascii="Times New Roman" w:hAnsi="Times New Roman" w:cs="Times New Roman"/>
          <w:sz w:val="18"/>
          <w:szCs w:val="18"/>
        </w:rPr>
        <w:t>D</w:t>
      </w:r>
      <w:r>
        <w:rPr>
          <w:rFonts w:ascii="Times New Roman" w:hAnsi="Times New Roman" w:cs="Times New Roman"/>
          <w:sz w:val="18"/>
          <w:szCs w:val="18"/>
        </w:rPr>
        <w:t>、股价预计波动率；</w:t>
      </w:r>
      <w:r>
        <w:rPr>
          <w:rFonts w:ascii="Times New Roman" w:hAnsi="Times New Roman" w:cs="Times New Roman"/>
          <w:sz w:val="18"/>
          <w:szCs w:val="18"/>
        </w:rPr>
        <w:t>E</w:t>
      </w:r>
      <w:r>
        <w:rPr>
          <w:rFonts w:ascii="Times New Roman" w:hAnsi="Times New Roman" w:cs="Times New Roman"/>
          <w:sz w:val="18"/>
          <w:szCs w:val="18"/>
        </w:rPr>
        <w:t>、股份的预计股利；</w:t>
      </w:r>
      <w:r>
        <w:rPr>
          <w:rFonts w:ascii="Times New Roman" w:hAnsi="Times New Roman" w:cs="Times New Roman"/>
          <w:sz w:val="18"/>
          <w:szCs w:val="18"/>
        </w:rPr>
        <w:t>F</w:t>
      </w:r>
      <w:r>
        <w:rPr>
          <w:rFonts w:ascii="Times New Roman" w:hAnsi="Times New Roman" w:cs="Times New Roman"/>
          <w:sz w:val="18"/>
          <w:szCs w:val="18"/>
        </w:rPr>
        <w:t>、期权有效期内的无风险利率。</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3</w:t>
      </w:r>
      <w:r>
        <w:rPr>
          <w:rFonts w:ascii="Times New Roman" w:hAnsi="Times New Roman" w:cs="Times New Roman" w:hint="eastAsia"/>
          <w:sz w:val="18"/>
          <w:szCs w:val="18"/>
        </w:rPr>
        <w:t>）</w:t>
      </w:r>
      <w:r>
        <w:rPr>
          <w:rFonts w:ascii="Times New Roman" w:hAnsi="Times New Roman" w:cs="Times New Roman"/>
          <w:sz w:val="18"/>
          <w:szCs w:val="18"/>
        </w:rPr>
        <w:t>确认可行权权益工具最佳估计的依据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等待期内每个资产负债表日，本公司根据最新取得的可行</w:t>
      </w:r>
      <w:proofErr w:type="gramStart"/>
      <w:r>
        <w:rPr>
          <w:rFonts w:ascii="Times New Roman" w:hAnsi="Times New Roman" w:cs="Times New Roman"/>
          <w:sz w:val="18"/>
          <w:szCs w:val="18"/>
        </w:rPr>
        <w:t>权职工</w:t>
      </w:r>
      <w:proofErr w:type="gramEnd"/>
      <w:r>
        <w:rPr>
          <w:rFonts w:ascii="Times New Roman" w:hAnsi="Times New Roman" w:cs="Times New Roman"/>
          <w:sz w:val="18"/>
          <w:szCs w:val="18"/>
        </w:rPr>
        <w:t>人数变动等后续信息</w:t>
      </w:r>
      <w:proofErr w:type="gramStart"/>
      <w:r>
        <w:rPr>
          <w:rFonts w:ascii="Times New Roman" w:hAnsi="Times New Roman" w:cs="Times New Roman"/>
          <w:sz w:val="18"/>
          <w:szCs w:val="18"/>
        </w:rPr>
        <w:t>作出</w:t>
      </w:r>
      <w:proofErr w:type="gramEnd"/>
      <w:r>
        <w:rPr>
          <w:rFonts w:ascii="Times New Roman" w:hAnsi="Times New Roman" w:cs="Times New Roman"/>
          <w:sz w:val="18"/>
          <w:szCs w:val="18"/>
        </w:rPr>
        <w:t>最佳估计，修正预计可行权的权益工具数量。在可行权日，最终预计可行权权益工具的数量应当与实际可行权数量一致。</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4</w:t>
      </w:r>
      <w:r>
        <w:rPr>
          <w:rFonts w:ascii="Times New Roman" w:hAnsi="Times New Roman" w:cs="Times New Roman" w:hint="eastAsia"/>
          <w:sz w:val="18"/>
          <w:szCs w:val="18"/>
        </w:rPr>
        <w:t>）</w:t>
      </w:r>
      <w:r>
        <w:rPr>
          <w:rFonts w:ascii="Times New Roman" w:hAnsi="Times New Roman" w:cs="Times New Roman"/>
          <w:sz w:val="18"/>
          <w:szCs w:val="18"/>
        </w:rPr>
        <w:t>实施、修改、终止股份支付计划的相关会计处理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以权益结算的股份支付，按授予职工权益工具的公允价值计量。授予后立即可行权的，在授予</w:t>
      </w:r>
      <w:proofErr w:type="gramStart"/>
      <w:r>
        <w:rPr>
          <w:rFonts w:ascii="Times New Roman" w:hAnsi="Times New Roman" w:cs="Times New Roman"/>
          <w:sz w:val="18"/>
          <w:szCs w:val="18"/>
        </w:rPr>
        <w:t>日按照</w:t>
      </w:r>
      <w:proofErr w:type="gramEnd"/>
      <w:r>
        <w:rPr>
          <w:rFonts w:ascii="Times New Roman" w:hAnsi="Times New Roman" w:cs="Times New Roman"/>
          <w:sz w:val="18"/>
          <w:szCs w:val="18"/>
        </w:rPr>
        <w:t>权益工具的公允价值计入相关成本或费用，相应增加资本公积。在完成等待期内的服务或达到规定业绩条件才可行权的，在等待期内的每个资产负债表日，以对可行权权益工具数量的最佳估计为基础，按照权益工具授予日的公允价值，将当期取得的服务计入相关成本或费用和资本公积。在可行权日之后不再对已确认的相关成本或费用和所有者权益总额进行调整。</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以现金结算的股份支付，按照本公司承担的以股份或其他权益工具为基础计算确定的负债的公允价值计量。授予后立即可行权的，在授予日以本公司承担负债的公允价值计入相关成本或费用，相应增加负债。在完成等待期内的服务或达到规定业绩条件以后才可行权的以现金结算的股份支付，在等待期内的每个资产负债表日，以对可行</w:t>
      </w:r>
      <w:proofErr w:type="gramStart"/>
      <w:r>
        <w:rPr>
          <w:rFonts w:ascii="Times New Roman" w:hAnsi="Times New Roman" w:cs="Times New Roman"/>
          <w:sz w:val="18"/>
          <w:szCs w:val="18"/>
        </w:rPr>
        <w:t>权情况</w:t>
      </w:r>
      <w:proofErr w:type="gramEnd"/>
      <w:r>
        <w:rPr>
          <w:rFonts w:ascii="Times New Roman" w:hAnsi="Times New Roman" w:cs="Times New Roman"/>
          <w:sz w:val="18"/>
          <w:szCs w:val="18"/>
        </w:rPr>
        <w:t>的最佳估计为基础，按照本公司承担负债的公允价值金额，将当期取得的服务计入成本或费用和相应的负债。在相关负债结算前的每个资产负债表日以及结算日，对负债的公允价值重新计量，其变动计入当期损益。</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对股份支付计划进行修改时，若修改增加了所授予权益工具的公允价值，按照权益工具公允价值的增加相应地确认取得服务的增加；若修改增加了所授予权益工具的数量，则将增加的权益工具的公允价值相应地确认为取得服务的增加。权益工具公允价值的增加是指修改前后的权益工具在修改日的公允价值之间的差额。若修改减少了股份支付公允价值总额或采用了其他不利于职工的方式修改股份支付计划的条款和条件，则仍继续对取得的服务进行会计处理，视同该变更从未发生，除非本公司取消了部分或全部已授予的权益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在等待期内，如果取消了授予的权益工具（因未满足可行</w:t>
      </w:r>
      <w:proofErr w:type="gramStart"/>
      <w:r>
        <w:rPr>
          <w:rFonts w:ascii="Times New Roman" w:hAnsi="Times New Roman" w:cs="Times New Roman"/>
          <w:sz w:val="18"/>
          <w:szCs w:val="18"/>
        </w:rPr>
        <w:t>权条件</w:t>
      </w:r>
      <w:proofErr w:type="gramEnd"/>
      <w:r>
        <w:rPr>
          <w:rFonts w:ascii="Times New Roman" w:hAnsi="Times New Roman" w:cs="Times New Roman"/>
          <w:sz w:val="18"/>
          <w:szCs w:val="18"/>
        </w:rPr>
        <w:t>的非市场条件而被取消的除外），本公司对取消所授予的权益性工具作为加速行权处理，将剩余等待期内应确认的金额立即计入当期损益，同时确认资本公积。职工或其他方能够选择满足非可行</w:t>
      </w:r>
      <w:proofErr w:type="gramStart"/>
      <w:r>
        <w:rPr>
          <w:rFonts w:ascii="Times New Roman" w:hAnsi="Times New Roman" w:cs="Times New Roman"/>
          <w:sz w:val="18"/>
          <w:szCs w:val="18"/>
        </w:rPr>
        <w:t>权条件</w:t>
      </w:r>
      <w:proofErr w:type="gramEnd"/>
      <w:r>
        <w:rPr>
          <w:rFonts w:ascii="Times New Roman" w:hAnsi="Times New Roman" w:cs="Times New Roman"/>
          <w:sz w:val="18"/>
          <w:szCs w:val="18"/>
        </w:rPr>
        <w:t>但在等待期内未满足的，本公司将其作为授予权益工具的取消处理。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5</w:t>
      </w:r>
      <w:r>
        <w:rPr>
          <w:rFonts w:ascii="Times New Roman" w:hAnsi="Times New Roman" w:cs="Times New Roman" w:hint="eastAsia"/>
          <w:sz w:val="18"/>
          <w:szCs w:val="18"/>
        </w:rPr>
        <w:t>）限制性股票</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股权激励计划中，本公司授予被激励对象限制性股票，被激励对象先认购股票，如果后续未达到股权激励计划规定的解锁条件，则本公司按照事先约定的价格回购股票。向职工发行的限制性股票按有关规定履行了注册登记等增资手续的，在授予日，本公司根据收到的职工缴纳的</w:t>
      </w:r>
      <w:proofErr w:type="gramStart"/>
      <w:r>
        <w:rPr>
          <w:rFonts w:ascii="Times New Roman" w:hAnsi="Times New Roman" w:cs="Times New Roman" w:hint="eastAsia"/>
          <w:sz w:val="18"/>
          <w:szCs w:val="18"/>
        </w:rPr>
        <w:t>认股款</w:t>
      </w:r>
      <w:proofErr w:type="gramEnd"/>
      <w:r>
        <w:rPr>
          <w:rFonts w:ascii="Times New Roman" w:hAnsi="Times New Roman" w:cs="Times New Roman" w:hint="eastAsia"/>
          <w:sz w:val="18"/>
          <w:szCs w:val="18"/>
        </w:rPr>
        <w:t>确认股本和资本公积（股本溢价）；同时就回购义务确认库存股和其他应付款。</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29</w:t>
      </w:r>
      <w:r>
        <w:rPr>
          <w:rFonts w:ascii="Times New Roman" w:eastAsiaTheme="minorEastAsia" w:hAnsi="Times New Roman" w:cs="Times New Roman" w:hint="eastAsia"/>
          <w:sz w:val="21"/>
        </w:rPr>
        <w:t>、优先股、永续债等其他金融工具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1</w:t>
      </w:r>
      <w:r>
        <w:rPr>
          <w:rFonts w:ascii="Times New Roman" w:hAnsi="Times New Roman" w:cs="Times New Roman" w:hint="eastAsia"/>
          <w:sz w:val="18"/>
          <w:szCs w:val="18"/>
        </w:rPr>
        <w:t>）</w:t>
      </w:r>
      <w:r>
        <w:rPr>
          <w:rFonts w:ascii="Times New Roman" w:hAnsi="Times New Roman" w:cs="Times New Roman"/>
          <w:sz w:val="18"/>
          <w:szCs w:val="18"/>
        </w:rPr>
        <w:t>金融负债与权益工具的区分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本公司根据所发行金融工具的合同条款及其所反映的经济实质而非仅以法律形式，结合金融资产、金融负债和权益工具的定义，在初始确认时将该金融工具或其组成部分分类为金融资产、金融负债或权益工具。</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hint="eastAsia"/>
          <w:sz w:val="18"/>
          <w:szCs w:val="18"/>
        </w:rPr>
        <w:t>（</w:t>
      </w:r>
      <w:r>
        <w:rPr>
          <w:rFonts w:ascii="Times New Roman" w:hAnsi="Times New Roman" w:cs="Times New Roman" w:hint="eastAsia"/>
          <w:sz w:val="18"/>
          <w:szCs w:val="18"/>
        </w:rPr>
        <w:t>2</w:t>
      </w:r>
      <w:r>
        <w:rPr>
          <w:rFonts w:ascii="Times New Roman" w:hAnsi="Times New Roman" w:cs="Times New Roman" w:hint="eastAsia"/>
          <w:sz w:val="18"/>
          <w:szCs w:val="18"/>
        </w:rPr>
        <w:t>）</w:t>
      </w:r>
      <w:r>
        <w:rPr>
          <w:rFonts w:ascii="Times New Roman" w:hAnsi="Times New Roman" w:cs="Times New Roman"/>
          <w:sz w:val="18"/>
          <w:szCs w:val="18"/>
        </w:rPr>
        <w:t>优先股、永续债等其他金融工具的会计处理</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发行的金融工具按照金融工具准则进行初始确认和计量；其后，于每个资产负债表日计提利息或分派股利，按照相关具体企业会计准则进行处理。即以所发行金融工具的分类为基础，确定该工具利息支出或股利分配等的会计处理。对于归类为权益工具的金融工具，其利息支出或股利分配都作为本公司的利润分配，其回购、注销等作为权益的变</w:t>
      </w:r>
      <w:r>
        <w:rPr>
          <w:rFonts w:ascii="Times New Roman" w:hAnsi="Times New Roman" w:cs="Times New Roman"/>
          <w:sz w:val="18"/>
          <w:szCs w:val="18"/>
        </w:rPr>
        <w:lastRenderedPageBreak/>
        <w:t>动处理；对于归类为金融负债的金融工具，其利息支出或股利分配原则上按照借款费用进行处理，其回购或赎回产生的利得或损失等计入当期损益。</w:t>
      </w:r>
      <w:r>
        <w:rPr>
          <w:rFonts w:ascii="Times New Roman" w:hAnsi="Times New Roman" w:cs="Times New Roman"/>
          <w:sz w:val="18"/>
          <w:szCs w:val="18"/>
        </w:rPr>
        <w:t xml:space="preserve"> </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本公司发行金融工具，其发生的手续费、佣金等交易费用，如分类为债务工具且以摊</w:t>
      </w:r>
      <w:proofErr w:type="gramStart"/>
      <w:r>
        <w:rPr>
          <w:rFonts w:ascii="Times New Roman" w:hAnsi="Times New Roman" w:cs="Times New Roman"/>
          <w:sz w:val="18"/>
          <w:szCs w:val="18"/>
        </w:rPr>
        <w:t>余成本</w:t>
      </w:r>
      <w:proofErr w:type="gramEnd"/>
      <w:r>
        <w:rPr>
          <w:rFonts w:ascii="Times New Roman" w:hAnsi="Times New Roman" w:cs="Times New Roman"/>
          <w:sz w:val="18"/>
          <w:szCs w:val="18"/>
        </w:rPr>
        <w:t>计量的，计入所发行工具的初始计量金额；如分类为权益工具的，从权益中扣除。</w:t>
      </w:r>
    </w:p>
    <w:p w:rsidR="00403CD6" w:rsidRDefault="00E91A59">
      <w:pPr>
        <w:pStyle w:val="30"/>
        <w:spacing w:line="280" w:lineRule="exact"/>
        <w:jc w:val="left"/>
        <w:rPr>
          <w:rFonts w:ascii="Times New Roman" w:eastAsiaTheme="minorEastAsia" w:hAnsi="Times New Roman" w:cs="Times New Roman"/>
          <w:sz w:val="21"/>
        </w:rPr>
      </w:pPr>
      <w:bookmarkStart w:id="43" w:name="_Toc989152"/>
      <w:r>
        <w:rPr>
          <w:rFonts w:ascii="Times New Roman" w:eastAsiaTheme="minorEastAsia" w:hAnsi="Times New Roman" w:cs="Times New Roman" w:hint="eastAsia"/>
          <w:sz w:val="21"/>
        </w:rPr>
        <w:t>30</w:t>
      </w:r>
      <w:r>
        <w:rPr>
          <w:rFonts w:ascii="Times New Roman" w:eastAsiaTheme="minorEastAsia" w:hAnsi="Times New Roman" w:cs="Times New Roman" w:hint="eastAsia"/>
          <w:sz w:val="21"/>
        </w:rPr>
        <w:t>、收入</w:t>
      </w:r>
      <w:bookmarkEnd w:id="43"/>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）一般原则</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本公司在履行了合同中的履约义务，即在客户取得相关商品或服务的控制权时确认收入。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合同中包含两项或多项履约义务的，本公司在合同开始日，按照各单项履约义务所承诺商品或服务的单独售价的相对比例，将交易价格分摊至各单项履约义务，按照分摊至各单项履约义务的交易价格计量收入。</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满足下列条件之一时，属于在某一时段内履行履约义务；否则，属于在某一时</w:t>
      </w:r>
      <w:proofErr w:type="gramStart"/>
      <w:r>
        <w:rPr>
          <w:rFonts w:ascii="Times New Roman" w:hAnsi="Times New Roman" w:cs="Times New Roman" w:hint="eastAsia"/>
          <w:kern w:val="0"/>
          <w:sz w:val="18"/>
          <w:szCs w:val="18"/>
          <w:lang w:val="zh-CN"/>
        </w:rPr>
        <w:t>点履行</w:t>
      </w:r>
      <w:proofErr w:type="gramEnd"/>
      <w:r>
        <w:rPr>
          <w:rFonts w:ascii="Times New Roman" w:hAnsi="Times New Roman" w:cs="Times New Roman" w:hint="eastAsia"/>
          <w:kern w:val="0"/>
          <w:sz w:val="18"/>
          <w:szCs w:val="18"/>
          <w:lang w:val="zh-CN"/>
        </w:rPr>
        <w:t>履约义务：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①客户在本公司履约的同时即取得并消耗本公司履约所带来的经济利益。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②客户能够控制本公司履约过程中在建的商品。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③本公司履约过程中所产出的商品具有不可替代用途，且本公司在整个合同期间内有权就累计至今已完成的履约部分收取款项。</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在某一时段内履行的履约义务，本公司在该段时间内按照履约进度确认收入。履约进度不能合理确定时，本公司已经发生的成本预计能够得到补偿的，按照已经发生的成本金额确认收入，直到履约进度能够合理确定为止。</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对于在某一时</w:t>
      </w:r>
      <w:proofErr w:type="gramStart"/>
      <w:r>
        <w:rPr>
          <w:rFonts w:ascii="Times New Roman" w:hAnsi="Times New Roman" w:cs="Times New Roman" w:hint="eastAsia"/>
          <w:kern w:val="0"/>
          <w:sz w:val="18"/>
          <w:szCs w:val="18"/>
          <w:lang w:val="zh-CN"/>
        </w:rPr>
        <w:t>点履行</w:t>
      </w:r>
      <w:proofErr w:type="gramEnd"/>
      <w:r>
        <w:rPr>
          <w:rFonts w:ascii="Times New Roman" w:hAnsi="Times New Roman" w:cs="Times New Roman" w:hint="eastAsia"/>
          <w:kern w:val="0"/>
          <w:sz w:val="18"/>
          <w:szCs w:val="18"/>
          <w:lang w:val="zh-CN"/>
        </w:rPr>
        <w:t>的履约义务，本公司在客户取得相关商品或服务控制权时点确认收入。在判断客户是否已取得商品或服务控制权时，本公司会考虑下列迹象：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①本公司就该商品或服务享有现时收款权利，即客户就该商品负有现时付款义务。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②本公司已将该商品的法定所有权转移给客户，即客户已拥有该商品的法定所有权。</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③本公司已将该商品的实物转移给客户，即客户已实物占有该商品。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④本公司已将该商品所有权上的主要风险和报酬转移给客户，即客户已取得该商品所有权上的主要风险和报酬。</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⑤客户已接受该商品或服务。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⑥其他表明客户已取得商品控制权的迹象。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）具体方法</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本公司收入主要来源于以下业务类型：销售商品、提供酒店及物业服务、提供融资租赁</w:t>
      </w:r>
      <w:proofErr w:type="gramStart"/>
      <w:r>
        <w:rPr>
          <w:rFonts w:ascii="Times New Roman" w:hAnsi="Times New Roman" w:cs="Times New Roman" w:hint="eastAsia"/>
          <w:kern w:val="0"/>
          <w:sz w:val="18"/>
          <w:szCs w:val="18"/>
          <w:lang w:val="zh-CN"/>
        </w:rPr>
        <w:t>及保理服务</w:t>
      </w:r>
      <w:proofErr w:type="gramEnd"/>
      <w:r>
        <w:rPr>
          <w:rFonts w:ascii="Times New Roman" w:hAnsi="Times New Roman" w:cs="Times New Roman" w:hint="eastAsia"/>
          <w:kern w:val="0"/>
          <w:sz w:val="18"/>
          <w:szCs w:val="18"/>
          <w:lang w:val="zh-CN"/>
        </w:rPr>
        <w:t>。</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销售商品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本公司生产并销售机制纸及原材料、电力及热力、建筑材料、造纸化工用品、汽车塑料配件及模具等产品。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对于国内销售业务，本公司将销售的商品（电力及热力除外）按照合同规定运至约定交货地点，在客户取得货物验收后且达到控制权转移时点后确认收入。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对于国外销售业务，本公司将销售的商品（电力及热力除外）装船并报关的当天确认收入。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本公司销售的电力及热力，属于在某一时段履行履约义务。电力销售为本公司根据每月输送</w:t>
      </w:r>
      <w:proofErr w:type="gramStart"/>
      <w:r>
        <w:rPr>
          <w:rFonts w:ascii="Times New Roman" w:hAnsi="Times New Roman" w:cs="Times New Roman" w:hint="eastAsia"/>
          <w:kern w:val="0"/>
          <w:sz w:val="18"/>
          <w:szCs w:val="18"/>
          <w:lang w:val="zh-CN"/>
        </w:rPr>
        <w:t>至客户</w:t>
      </w:r>
      <w:proofErr w:type="gramEnd"/>
      <w:r>
        <w:rPr>
          <w:rFonts w:ascii="Times New Roman" w:hAnsi="Times New Roman" w:cs="Times New Roman" w:hint="eastAsia"/>
          <w:kern w:val="0"/>
          <w:sz w:val="18"/>
          <w:szCs w:val="18"/>
          <w:lang w:val="zh-CN"/>
        </w:rPr>
        <w:t>的电量按照合同约定的价格确认电力销售收入。蒸汽销售为本公司根据每月输送</w:t>
      </w:r>
      <w:proofErr w:type="gramStart"/>
      <w:r>
        <w:rPr>
          <w:rFonts w:ascii="Times New Roman" w:hAnsi="Times New Roman" w:cs="Times New Roman" w:hint="eastAsia"/>
          <w:kern w:val="0"/>
          <w:sz w:val="18"/>
          <w:szCs w:val="18"/>
          <w:lang w:val="zh-CN"/>
        </w:rPr>
        <w:t>至客户</w:t>
      </w:r>
      <w:proofErr w:type="gramEnd"/>
      <w:r>
        <w:rPr>
          <w:rFonts w:ascii="Times New Roman" w:hAnsi="Times New Roman" w:cs="Times New Roman" w:hint="eastAsia"/>
          <w:kern w:val="0"/>
          <w:sz w:val="18"/>
          <w:szCs w:val="18"/>
          <w:lang w:val="zh-CN"/>
        </w:rPr>
        <w:t>的蒸汽</w:t>
      </w:r>
      <w:proofErr w:type="gramStart"/>
      <w:r>
        <w:rPr>
          <w:rFonts w:ascii="Times New Roman" w:hAnsi="Times New Roman" w:cs="Times New Roman" w:hint="eastAsia"/>
          <w:kern w:val="0"/>
          <w:sz w:val="18"/>
          <w:szCs w:val="18"/>
          <w:lang w:val="zh-CN"/>
        </w:rPr>
        <w:t>量按照</w:t>
      </w:r>
      <w:proofErr w:type="gramEnd"/>
      <w:r>
        <w:rPr>
          <w:rFonts w:ascii="Times New Roman" w:hAnsi="Times New Roman" w:cs="Times New Roman" w:hint="eastAsia"/>
          <w:kern w:val="0"/>
          <w:sz w:val="18"/>
          <w:szCs w:val="18"/>
          <w:lang w:val="zh-CN"/>
        </w:rPr>
        <w:t>合同约定的价格确认蒸汽销售收入。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本公司给予各个行业客户的信用期与各个行业惯例一致，不存在重大融资成分。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本公司为销售产品提供产品质量保证，并确认相应的预计负债，本公司并未因此提供任何额外的服务或额外的质量保证，故该产品质量保证不构成单独的履约义务。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本公司与经销商的合作模式为买断式销售，经销模式下销售收入确认与直销模式一致。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本公司部分与客户之间的合同存在销售返利的安排，形成可变对价。本公司按照期望值或最有可能发生金额确定可变对价的最佳估计数，但包含可变对价的交易价格不超过在相关不确定性消除时累计已确认</w:t>
      </w:r>
      <w:proofErr w:type="gramStart"/>
      <w:r>
        <w:rPr>
          <w:rFonts w:ascii="Times New Roman" w:hAnsi="Times New Roman" w:cs="Times New Roman" w:hint="eastAsia"/>
          <w:kern w:val="0"/>
          <w:sz w:val="18"/>
          <w:szCs w:val="18"/>
          <w:lang w:val="zh-CN"/>
        </w:rPr>
        <w:t>收入极</w:t>
      </w:r>
      <w:proofErr w:type="gramEnd"/>
      <w:r>
        <w:rPr>
          <w:rFonts w:ascii="Times New Roman" w:hAnsi="Times New Roman" w:cs="Times New Roman" w:hint="eastAsia"/>
          <w:kern w:val="0"/>
          <w:sz w:val="18"/>
          <w:szCs w:val="18"/>
          <w:lang w:val="zh-CN"/>
        </w:rPr>
        <w:t>可能不会发生重大转回的金额。</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对于附有销售退回条款的机制纸商品的销售，收入确认以累计已确认</w:t>
      </w:r>
      <w:proofErr w:type="gramStart"/>
      <w:r>
        <w:rPr>
          <w:rFonts w:ascii="Times New Roman" w:hAnsi="Times New Roman" w:cs="Times New Roman" w:hint="eastAsia"/>
          <w:kern w:val="0"/>
          <w:sz w:val="18"/>
          <w:szCs w:val="18"/>
          <w:lang w:val="zh-CN"/>
        </w:rPr>
        <w:t>收入极</w:t>
      </w:r>
      <w:proofErr w:type="gramEnd"/>
      <w:r>
        <w:rPr>
          <w:rFonts w:ascii="Times New Roman" w:hAnsi="Times New Roman" w:cs="Times New Roman" w:hint="eastAsia"/>
          <w:kern w:val="0"/>
          <w:sz w:val="18"/>
          <w:szCs w:val="18"/>
          <w:lang w:val="zh-CN"/>
        </w:rPr>
        <w:t>可能不会发生重大转回的金额为限。本公司按照预期退还金额确认负债，同时按照预期将退回商品转让时的账面价值，扣除收回该商品预计发生的成本（包括退回商品的价值减损）后的余额，确认为一项资产。</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lastRenderedPageBreak/>
        <w:t>提供酒店及物业服务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本公司对外提供酒店及物业服务，因客户在本公司履约的同时取得并消耗企业履约所带来的经济利益，本公司按照履约进度确认收入。由于履约进度均匀发生，本公司在服务期内按照直线法摊销确认收入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提供融资租赁</w:t>
      </w:r>
      <w:proofErr w:type="gramStart"/>
      <w:r>
        <w:rPr>
          <w:rFonts w:ascii="Times New Roman" w:hAnsi="Times New Roman" w:cs="Times New Roman" w:hint="eastAsia"/>
          <w:kern w:val="0"/>
          <w:sz w:val="18"/>
          <w:szCs w:val="18"/>
          <w:lang w:val="zh-CN"/>
        </w:rPr>
        <w:t>及保理服务</w:t>
      </w:r>
      <w:proofErr w:type="gramEnd"/>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本公司对外的融资租赁及</w:t>
      </w:r>
      <w:proofErr w:type="gramStart"/>
      <w:r>
        <w:rPr>
          <w:rFonts w:ascii="Times New Roman" w:hAnsi="Times New Roman" w:cs="Times New Roman" w:hint="eastAsia"/>
          <w:kern w:val="0"/>
          <w:sz w:val="18"/>
          <w:szCs w:val="18"/>
          <w:lang w:val="zh-CN"/>
        </w:rPr>
        <w:t>保理服务</w:t>
      </w:r>
      <w:proofErr w:type="gramEnd"/>
      <w:r>
        <w:rPr>
          <w:rFonts w:ascii="Times New Roman" w:hAnsi="Times New Roman" w:cs="Times New Roman" w:hint="eastAsia"/>
          <w:kern w:val="0"/>
          <w:sz w:val="18"/>
          <w:szCs w:val="18"/>
          <w:lang w:val="zh-CN"/>
        </w:rPr>
        <w:t>按照实际利率法确认收入。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对于未发生信用减值的资产，本公司按照该金融资产的账面余额（即不考虑减值影响）乘以实际利率的金额确定其利息收入。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对于已发生信用减值的金融资产分两种情形：</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w:t>
      </w:r>
      <w:proofErr w:type="gramStart"/>
      <w:r>
        <w:rPr>
          <w:rFonts w:ascii="Times New Roman" w:hAnsi="Times New Roman" w:cs="Times New Roman" w:hint="eastAsia"/>
          <w:kern w:val="0"/>
          <w:sz w:val="18"/>
          <w:szCs w:val="18"/>
          <w:lang w:val="zh-CN"/>
        </w:rPr>
        <w:t>购买或源生</w:t>
      </w:r>
      <w:proofErr w:type="gramEnd"/>
      <w:r>
        <w:rPr>
          <w:rFonts w:ascii="Times New Roman" w:hAnsi="Times New Roman" w:cs="Times New Roman" w:hint="eastAsia"/>
          <w:kern w:val="0"/>
          <w:sz w:val="18"/>
          <w:szCs w:val="18"/>
          <w:lang w:val="zh-CN"/>
        </w:rPr>
        <w:t>时未发生信用减值、但在后续期间发生信用减值的金融资产，本公司在发生减值的后续期间，按照该金融资产的摊余成本（即账面</w:t>
      </w:r>
      <w:proofErr w:type="gramStart"/>
      <w:r>
        <w:rPr>
          <w:rFonts w:ascii="Times New Roman" w:hAnsi="Times New Roman" w:cs="Times New Roman" w:hint="eastAsia"/>
          <w:kern w:val="0"/>
          <w:sz w:val="18"/>
          <w:szCs w:val="18"/>
          <w:lang w:val="zh-CN"/>
        </w:rPr>
        <w:t>余额减已计提</w:t>
      </w:r>
      <w:proofErr w:type="gramEnd"/>
      <w:r>
        <w:rPr>
          <w:rFonts w:ascii="Times New Roman" w:hAnsi="Times New Roman" w:cs="Times New Roman" w:hint="eastAsia"/>
          <w:kern w:val="0"/>
          <w:sz w:val="18"/>
          <w:szCs w:val="18"/>
          <w:lang w:val="zh-CN"/>
        </w:rPr>
        <w:t>减值）乘以实际利率（初始确认时确定的实际利率，不因减值的发生而变化）的金额确定其收入。</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w:t>
      </w:r>
      <w:proofErr w:type="gramStart"/>
      <w:r>
        <w:rPr>
          <w:rFonts w:ascii="Times New Roman" w:hAnsi="Times New Roman" w:cs="Times New Roman" w:hint="eastAsia"/>
          <w:kern w:val="0"/>
          <w:sz w:val="18"/>
          <w:szCs w:val="18"/>
          <w:lang w:val="zh-CN"/>
        </w:rPr>
        <w:t>购买或源生</w:t>
      </w:r>
      <w:proofErr w:type="gramEnd"/>
      <w:r>
        <w:rPr>
          <w:rFonts w:ascii="Times New Roman" w:hAnsi="Times New Roman" w:cs="Times New Roman" w:hint="eastAsia"/>
          <w:kern w:val="0"/>
          <w:sz w:val="18"/>
          <w:szCs w:val="18"/>
          <w:lang w:val="zh-CN"/>
        </w:rPr>
        <w:t>时已发生信用减值的金融资产，本公司自初始确认起，按照该金融资产的摊</w:t>
      </w:r>
      <w:proofErr w:type="gramStart"/>
      <w:r>
        <w:rPr>
          <w:rFonts w:ascii="Times New Roman" w:hAnsi="Times New Roman" w:cs="Times New Roman" w:hint="eastAsia"/>
          <w:kern w:val="0"/>
          <w:sz w:val="18"/>
          <w:szCs w:val="18"/>
          <w:lang w:val="zh-CN"/>
        </w:rPr>
        <w:t>余成本</w:t>
      </w:r>
      <w:proofErr w:type="gramEnd"/>
      <w:r>
        <w:rPr>
          <w:rFonts w:ascii="Times New Roman" w:hAnsi="Times New Roman" w:cs="Times New Roman" w:hint="eastAsia"/>
          <w:kern w:val="0"/>
          <w:sz w:val="18"/>
          <w:szCs w:val="18"/>
          <w:lang w:val="zh-CN"/>
        </w:rPr>
        <w:t>乘以经信用调整的实际利率（即</w:t>
      </w:r>
      <w:proofErr w:type="gramStart"/>
      <w:r>
        <w:rPr>
          <w:rFonts w:ascii="Times New Roman" w:hAnsi="Times New Roman" w:cs="Times New Roman" w:hint="eastAsia"/>
          <w:kern w:val="0"/>
          <w:sz w:val="18"/>
          <w:szCs w:val="18"/>
          <w:lang w:val="zh-CN"/>
        </w:rPr>
        <w:t>购买或源生</w:t>
      </w:r>
      <w:proofErr w:type="gramEnd"/>
      <w:r>
        <w:rPr>
          <w:rFonts w:ascii="Times New Roman" w:hAnsi="Times New Roman" w:cs="Times New Roman" w:hint="eastAsia"/>
          <w:kern w:val="0"/>
          <w:sz w:val="18"/>
          <w:szCs w:val="18"/>
          <w:lang w:val="zh-CN"/>
        </w:rPr>
        <w:t>时将减值后的预计未来现金流量折现为摊</w:t>
      </w:r>
      <w:proofErr w:type="gramStart"/>
      <w:r>
        <w:rPr>
          <w:rFonts w:ascii="Times New Roman" w:hAnsi="Times New Roman" w:cs="Times New Roman" w:hint="eastAsia"/>
          <w:kern w:val="0"/>
          <w:sz w:val="18"/>
          <w:szCs w:val="18"/>
          <w:lang w:val="zh-CN"/>
        </w:rPr>
        <w:t>余成本</w:t>
      </w:r>
      <w:proofErr w:type="gramEnd"/>
      <w:r>
        <w:rPr>
          <w:rFonts w:ascii="Times New Roman" w:hAnsi="Times New Roman" w:cs="Times New Roman" w:hint="eastAsia"/>
          <w:kern w:val="0"/>
          <w:sz w:val="18"/>
          <w:szCs w:val="18"/>
          <w:lang w:val="zh-CN"/>
        </w:rPr>
        <w:t>的利率）的金额确定其收入。</w:t>
      </w:r>
    </w:p>
    <w:p w:rsidR="00403CD6" w:rsidRDefault="00E91A59">
      <w:pPr>
        <w:pStyle w:val="30"/>
        <w:spacing w:line="280" w:lineRule="exact"/>
        <w:jc w:val="left"/>
        <w:rPr>
          <w:rFonts w:ascii="Times New Roman" w:eastAsiaTheme="minorEastAsia" w:hAnsi="Times New Roman" w:cs="Times New Roman"/>
          <w:sz w:val="21"/>
        </w:rPr>
      </w:pPr>
      <w:bookmarkStart w:id="44" w:name="_Toc989153"/>
      <w:bookmarkStart w:id="45" w:name="_Toc989128"/>
      <w:bookmarkEnd w:id="35"/>
      <w:r>
        <w:rPr>
          <w:rFonts w:ascii="Times New Roman" w:eastAsiaTheme="minorEastAsia" w:hAnsi="Times New Roman" w:cs="Times New Roman" w:hint="eastAsia"/>
          <w:sz w:val="21"/>
        </w:rPr>
        <w:t>31</w:t>
      </w:r>
      <w:r>
        <w:rPr>
          <w:rFonts w:ascii="Times New Roman" w:eastAsiaTheme="minorEastAsia" w:hAnsi="Times New Roman" w:cs="Times New Roman" w:hint="eastAsia"/>
          <w:sz w:val="21"/>
        </w:rPr>
        <w:t>、合同成本</w:t>
      </w:r>
      <w:bookmarkEnd w:id="44"/>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合同成本包括为取得合同发生的增量成本及合同履约成本。</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为取得合同发生的增量成本是指本公司不取得合同就不会发生的成本（如销售佣金等）。</w:t>
      </w:r>
      <w:proofErr w:type="gramStart"/>
      <w:r>
        <w:rPr>
          <w:rFonts w:ascii="Times New Roman" w:hAnsi="Times New Roman" w:cs="Times New Roman" w:hint="eastAsia"/>
          <w:kern w:val="0"/>
          <w:sz w:val="18"/>
          <w:szCs w:val="18"/>
          <w:lang w:val="zh-CN"/>
        </w:rPr>
        <w:t>该成本</w:t>
      </w:r>
      <w:proofErr w:type="gramEnd"/>
      <w:r>
        <w:rPr>
          <w:rFonts w:ascii="Times New Roman" w:hAnsi="Times New Roman" w:cs="Times New Roman" w:hint="eastAsia"/>
          <w:kern w:val="0"/>
          <w:sz w:val="18"/>
          <w:szCs w:val="18"/>
          <w:lang w:val="zh-CN"/>
        </w:rPr>
        <w:t>预期能够收回的，本公司将其作为合同取得成本确认为一项资产。本公司为取得合同发生的、除预期能够收回的增量成本之外的其他支出于发生时计入当期损益。</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为履行合同发生的成本，不属于存货等其他企业会计准则规范范围且同时满足下列条件的，本公司将其作为合同履约成本确认为一项资产：</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①</w:t>
      </w:r>
      <w:proofErr w:type="gramStart"/>
      <w:r>
        <w:rPr>
          <w:rFonts w:ascii="Times New Roman" w:hAnsi="Times New Roman" w:cs="Times New Roman" w:hint="eastAsia"/>
          <w:kern w:val="0"/>
          <w:sz w:val="18"/>
          <w:szCs w:val="18"/>
          <w:lang w:val="zh-CN"/>
        </w:rPr>
        <w:t>该成本</w:t>
      </w:r>
      <w:proofErr w:type="gramEnd"/>
      <w:r>
        <w:rPr>
          <w:rFonts w:ascii="Times New Roman" w:hAnsi="Times New Roman" w:cs="Times New Roman" w:hint="eastAsia"/>
          <w:kern w:val="0"/>
          <w:sz w:val="18"/>
          <w:szCs w:val="18"/>
          <w:lang w:val="zh-CN"/>
        </w:rPr>
        <w:t>与一份当前或预期取得的合同直接相关，包括直接人工、直接材料、制造费用</w:t>
      </w:r>
      <w:r>
        <w:rPr>
          <w:rFonts w:ascii="Times New Roman" w:hAnsi="Times New Roman" w:cs="Times New Roman" w:hint="eastAsia"/>
          <w:kern w:val="0"/>
          <w:sz w:val="18"/>
          <w:szCs w:val="18"/>
          <w:lang w:val="zh-CN"/>
        </w:rPr>
        <w:t xml:space="preserve"> </w:t>
      </w:r>
      <w:r>
        <w:rPr>
          <w:rFonts w:ascii="Times New Roman" w:hAnsi="Times New Roman" w:cs="Times New Roman" w:hint="eastAsia"/>
          <w:kern w:val="0"/>
          <w:sz w:val="18"/>
          <w:szCs w:val="18"/>
          <w:lang w:val="zh-CN"/>
        </w:rPr>
        <w:t>（或类似费用）、明确由客户承担的成本以及仅因该合同而发生的其他成本；</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②</w:t>
      </w:r>
      <w:proofErr w:type="gramStart"/>
      <w:r>
        <w:rPr>
          <w:rFonts w:ascii="Times New Roman" w:hAnsi="Times New Roman" w:cs="Times New Roman" w:hint="eastAsia"/>
          <w:kern w:val="0"/>
          <w:sz w:val="18"/>
          <w:szCs w:val="18"/>
          <w:lang w:val="zh-CN"/>
        </w:rPr>
        <w:t>该成本</w:t>
      </w:r>
      <w:proofErr w:type="gramEnd"/>
      <w:r>
        <w:rPr>
          <w:rFonts w:ascii="Times New Roman" w:hAnsi="Times New Roman" w:cs="Times New Roman" w:hint="eastAsia"/>
          <w:kern w:val="0"/>
          <w:sz w:val="18"/>
          <w:szCs w:val="18"/>
          <w:lang w:val="zh-CN"/>
        </w:rPr>
        <w:t>增加了本公司未来用于履行履约义务的资源；</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③</w:t>
      </w:r>
      <w:proofErr w:type="gramStart"/>
      <w:r>
        <w:rPr>
          <w:rFonts w:ascii="Times New Roman" w:hAnsi="Times New Roman" w:cs="Times New Roman" w:hint="eastAsia"/>
          <w:kern w:val="0"/>
          <w:sz w:val="18"/>
          <w:szCs w:val="18"/>
          <w:lang w:val="zh-CN"/>
        </w:rPr>
        <w:t>该成本</w:t>
      </w:r>
      <w:proofErr w:type="gramEnd"/>
      <w:r>
        <w:rPr>
          <w:rFonts w:ascii="Times New Roman" w:hAnsi="Times New Roman" w:cs="Times New Roman" w:hint="eastAsia"/>
          <w:kern w:val="0"/>
          <w:sz w:val="18"/>
          <w:szCs w:val="18"/>
          <w:lang w:val="zh-CN"/>
        </w:rPr>
        <w:t>预期能够收回。</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合同取得成本确认的资产和合同履约成本确认的资产（以下简称“与合同成本有关的资产”）采用与该资产相关的商品或服务收入确认相同的基础进行摊销，计入当期损益。</w:t>
      </w:r>
      <w:r>
        <w:rPr>
          <w:rFonts w:ascii="Times New Roman" w:hAnsi="Times New Roman" w:cs="Times New Roman" w:hint="eastAsia"/>
          <w:kern w:val="0"/>
          <w:sz w:val="18"/>
          <w:szCs w:val="18"/>
          <w:lang w:val="zh-CN"/>
        </w:rPr>
        <w:t xml:space="preserve"> </w:t>
      </w:r>
      <w:r>
        <w:rPr>
          <w:rFonts w:ascii="Times New Roman" w:hAnsi="Times New Roman" w:cs="Times New Roman" w:hint="eastAsia"/>
          <w:kern w:val="0"/>
          <w:sz w:val="18"/>
          <w:szCs w:val="18"/>
          <w:lang w:val="zh-CN"/>
        </w:rPr>
        <w:t>摊销期限不超过一年则在发生时计入当期损益。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当与合同成本有关的资产的账面价值高于下列两项的差额时，本公司对超出部分计提减值准备，并确认为资产减值损失：</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①本公司因转让与该资产相关的商品或服务预期能够取得的剩余对价；</w:t>
      </w:r>
      <w:r>
        <w:rPr>
          <w:rFonts w:ascii="Times New Roman" w:hAnsi="Times New Roman" w:cs="Times New Roman" w:hint="eastAsia"/>
          <w:kern w:val="0"/>
          <w:sz w:val="18"/>
          <w:szCs w:val="18"/>
          <w:lang w:val="zh-CN"/>
        </w:rPr>
        <w:t xml:space="preserve"> </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②为转让</w:t>
      </w:r>
      <w:proofErr w:type="gramStart"/>
      <w:r>
        <w:rPr>
          <w:rFonts w:ascii="Times New Roman" w:hAnsi="Times New Roman" w:cs="Times New Roman" w:hint="eastAsia"/>
          <w:kern w:val="0"/>
          <w:sz w:val="18"/>
          <w:szCs w:val="18"/>
          <w:lang w:val="zh-CN"/>
        </w:rPr>
        <w:t>该相关</w:t>
      </w:r>
      <w:proofErr w:type="gramEnd"/>
      <w:r>
        <w:rPr>
          <w:rFonts w:ascii="Times New Roman" w:hAnsi="Times New Roman" w:cs="Times New Roman" w:hint="eastAsia"/>
          <w:kern w:val="0"/>
          <w:sz w:val="18"/>
          <w:szCs w:val="18"/>
          <w:lang w:val="zh-CN"/>
        </w:rPr>
        <w:t>商品或服务估计将要发生的成本。</w:t>
      </w:r>
    </w:p>
    <w:p w:rsidR="00403CD6" w:rsidRDefault="00E91A59">
      <w:pPr>
        <w:pStyle w:val="30"/>
        <w:spacing w:line="280" w:lineRule="exact"/>
        <w:jc w:val="left"/>
        <w:rPr>
          <w:rFonts w:ascii="Times New Roman" w:eastAsiaTheme="minorEastAsia" w:hAnsi="Times New Roman" w:cs="Times New Roman"/>
          <w:sz w:val="21"/>
        </w:rPr>
      </w:pPr>
      <w:bookmarkStart w:id="46" w:name="_Toc989154"/>
      <w:r>
        <w:rPr>
          <w:rFonts w:ascii="Times New Roman" w:eastAsiaTheme="minorEastAsia" w:hAnsi="Times New Roman" w:cs="Times New Roman" w:hint="eastAsia"/>
          <w:sz w:val="21"/>
        </w:rPr>
        <w:t>32</w:t>
      </w:r>
      <w:r>
        <w:rPr>
          <w:rFonts w:ascii="Times New Roman" w:eastAsiaTheme="minorEastAsia" w:hAnsi="Times New Roman" w:cs="Times New Roman" w:hint="eastAsia"/>
          <w:sz w:val="21"/>
        </w:rPr>
        <w:t>、政府补助</w:t>
      </w:r>
      <w:bookmarkEnd w:id="46"/>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政府补助在满足政府补助所附条件并能够收到时确认。</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对于货币性资产的政府补助，按照收到或应收的金额计量。对于非货币性资产的政府补助，按照公允价值计量；公允价值不能够可靠取得的，按照名义金额</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元计量。</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与资产相关的政府补助，是指本公司取得的、用于购建或以其他方式形成长期资产的政府补助；除此之外，作为与收益相关的政府补助。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政府文件未明确规定补助对象的，能够形成长期资产的，与资产价值相对应的政府补助部分作为与资产相关的政府补助，其余部分作为与收益相关的政府补助；难以区分的，将政府补助整体作为与收益相关的政府补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与资产相关的政府补助，</w:t>
      </w:r>
      <w:proofErr w:type="gramStart"/>
      <w:r>
        <w:rPr>
          <w:rFonts w:ascii="Times New Roman" w:hAnsi="Times New Roman" w:cs="Times New Roman" w:hint="eastAsia"/>
          <w:kern w:val="0"/>
          <w:sz w:val="18"/>
          <w:szCs w:val="18"/>
          <w:lang w:val="zh-CN"/>
        </w:rPr>
        <w:t>确认为递延</w:t>
      </w:r>
      <w:proofErr w:type="gramEnd"/>
      <w:r>
        <w:rPr>
          <w:rFonts w:ascii="Times New Roman" w:hAnsi="Times New Roman" w:cs="Times New Roman" w:hint="eastAsia"/>
          <w:kern w:val="0"/>
          <w:sz w:val="18"/>
          <w:szCs w:val="18"/>
          <w:lang w:val="zh-CN"/>
        </w:rPr>
        <w:t>收益在相关资产使用期限内按照合理、系统的方法分期计入损益。与收益相关的政府补助，用于补偿已发生的相关成本费用或损失的，计入当期损益或冲减相关成本；用于补偿以后期间的相关成本费用或损失的，则计入递延收益，于相关成本费用或损失确认期间计入当期损益或冲减相关成本。按照名义金额计量的政府补</w:t>
      </w:r>
      <w:r>
        <w:rPr>
          <w:rFonts w:ascii="Times New Roman" w:hAnsi="Times New Roman" w:cs="Times New Roman" w:hint="eastAsia"/>
          <w:kern w:val="0"/>
          <w:sz w:val="18"/>
          <w:szCs w:val="18"/>
          <w:lang w:val="zh-CN"/>
        </w:rPr>
        <w:lastRenderedPageBreak/>
        <w:t>助，直接计入当期损益。本公司对相同或类似的政府补助业务，采用一致的方法处理。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与日常活动相关的政府补助，按照经济业务实质，计入其他收益或冲减相关成本费用。与日常活动无关的政府补助，计入营业外收入或冲减营业外支出。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已确认的政府补助需要返还时，初始确认时冲减相关资产账面价值的，调整资产账面价值；存在相关递延收益余额的，冲减相关递延收益账面余额，超出部分计入当期损益；属于其他情况的，直接计入当期损益。</w:t>
      </w:r>
    </w:p>
    <w:p w:rsidR="00403CD6" w:rsidRDefault="00E91A59">
      <w:pPr>
        <w:pStyle w:val="30"/>
        <w:spacing w:line="280" w:lineRule="exact"/>
        <w:jc w:val="left"/>
        <w:rPr>
          <w:rFonts w:ascii="Times New Roman" w:eastAsiaTheme="minorEastAsia" w:hAnsi="Times New Roman" w:cs="Times New Roman"/>
          <w:sz w:val="21"/>
        </w:rPr>
      </w:pPr>
      <w:bookmarkStart w:id="47" w:name="_Toc989155"/>
      <w:r>
        <w:rPr>
          <w:rFonts w:ascii="Times New Roman" w:eastAsiaTheme="minorEastAsia" w:hAnsi="Times New Roman" w:cs="Times New Roman" w:hint="eastAsia"/>
          <w:sz w:val="21"/>
        </w:rPr>
        <w:t>33</w:t>
      </w:r>
      <w:r>
        <w:rPr>
          <w:rFonts w:ascii="Times New Roman" w:eastAsiaTheme="minorEastAsia" w:hAnsi="Times New Roman" w:cs="Times New Roman" w:hint="eastAsia"/>
          <w:sz w:val="21"/>
        </w:rPr>
        <w:t>、递延所得税资产</w:t>
      </w:r>
      <w:r>
        <w:rPr>
          <w:rFonts w:ascii="Times New Roman" w:eastAsiaTheme="minorEastAsia" w:hAnsi="Times New Roman" w:cs="Times New Roman" w:hint="eastAsia"/>
          <w:sz w:val="21"/>
        </w:rPr>
        <w:t>/</w:t>
      </w:r>
      <w:r>
        <w:rPr>
          <w:rFonts w:ascii="Times New Roman" w:eastAsiaTheme="minorEastAsia" w:hAnsi="Times New Roman" w:cs="Times New Roman" w:hint="eastAsia"/>
          <w:sz w:val="21"/>
        </w:rPr>
        <w:t>递延所得税负债</w:t>
      </w:r>
      <w:bookmarkEnd w:id="47"/>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所得税包括当期所得税和递延所得税。除由于企业合并产生的调整商誉，或与直接计入所有者权益的交易或者事项相关的递延所得税计入所有者权益外，均作为所得税费用计入当期损益。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本公司根据资产、负债于资产负债表日的账面价值与计税基础之间的暂时性差异，采用资产负债表债务法确认递延所得税。</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各项应纳税暂时性差异均确认相关的递延所得税负债，除非该应纳税暂时性差异是在以下交易中产生的：</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商誉的初始确认，或者具有以下特征的交易中产生的资产或负债的初始确认：该交易不是企业合并，并且交易发生时既不影响会计利润也不影响应纳税所得额（初始确认的资产和负债导致产生等额应纳税暂时性差异和可抵扣暂时性差异的单项交易除外）；</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）对于与子公司、合营企业及联营企业投资相关的应纳税暂时性差异，该暂时性差异转回的时间能够控制并且该暂时性差异在可预见的未来很可能不会转回。</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可抵扣暂时性差异、能够结转以后年度的可抵扣亏损和税款抵减，本公司以很可能取得用来抵扣可抵扣暂时性差异、可抵扣亏损和税款抵减的未来应纳税所得额为限，确认由此产生的递延所得税资产，除非该可抵扣暂时性差异是在以下交易中产生的：</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）该交易不是企业合并，并且交易发生时既不影响会计利润也不影响应纳税所得额（初始确认的资产和负债导致产生等额应纳税暂时性差异和可抵扣暂时性差异的单项交易除外）；</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对于与子公司、合营企业及联营企业投资相关的可抵扣暂时性差异，同时满足下列条件的，确认相应的递延所得税资产：暂时性差异在可预见的未来很可能转回，且未来很可能获得用来抵扣可抵扣暂时性差异的应纳税所得额。</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资产负债表日，本公司对递延所得税资产和递延所得税负债，按照预期收回该资产或清偿该负债期间的适用税率计量，并反映资产负债表日预期收回资产或清偿负债方式的所得税影响。</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资产负债表日，本公司对递延所得税资产的账面价值进行复核。如果未来期间很可能无法获得足够的应纳税所得额用以抵扣递延所得税资产的利益，</w:t>
      </w:r>
      <w:proofErr w:type="gramStart"/>
      <w:r>
        <w:rPr>
          <w:rFonts w:ascii="Times New Roman" w:hAnsi="Times New Roman" w:cs="Times New Roman" w:hint="eastAsia"/>
          <w:kern w:val="0"/>
          <w:sz w:val="18"/>
          <w:szCs w:val="18"/>
          <w:lang w:val="zh-CN"/>
        </w:rPr>
        <w:t>减记递</w:t>
      </w:r>
      <w:proofErr w:type="gramEnd"/>
      <w:r>
        <w:rPr>
          <w:rFonts w:ascii="Times New Roman" w:hAnsi="Times New Roman" w:cs="Times New Roman" w:hint="eastAsia"/>
          <w:kern w:val="0"/>
          <w:sz w:val="18"/>
          <w:szCs w:val="18"/>
          <w:lang w:val="zh-CN"/>
        </w:rPr>
        <w:t>延所得税资产的账面价值。在很可能获得足够的应纳税所得额时，</w:t>
      </w:r>
      <w:proofErr w:type="gramStart"/>
      <w:r>
        <w:rPr>
          <w:rFonts w:ascii="Times New Roman" w:hAnsi="Times New Roman" w:cs="Times New Roman" w:hint="eastAsia"/>
          <w:kern w:val="0"/>
          <w:sz w:val="18"/>
          <w:szCs w:val="18"/>
          <w:lang w:val="zh-CN"/>
        </w:rPr>
        <w:t>减记的</w:t>
      </w:r>
      <w:proofErr w:type="gramEnd"/>
      <w:r>
        <w:rPr>
          <w:rFonts w:ascii="Times New Roman" w:hAnsi="Times New Roman" w:cs="Times New Roman" w:hint="eastAsia"/>
          <w:kern w:val="0"/>
          <w:sz w:val="18"/>
          <w:szCs w:val="18"/>
          <w:lang w:val="zh-CN"/>
        </w:rPr>
        <w:t>金额予以转回。</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资产负债表日，递延所得税资产和递延所得税负债在同时满足下列条件时以</w:t>
      </w:r>
      <w:proofErr w:type="gramStart"/>
      <w:r>
        <w:rPr>
          <w:rFonts w:ascii="Times New Roman" w:hAnsi="Times New Roman" w:cs="Times New Roman" w:hint="eastAsia"/>
          <w:kern w:val="0"/>
          <w:sz w:val="18"/>
          <w:szCs w:val="18"/>
          <w:lang w:val="zh-CN"/>
        </w:rPr>
        <w:t>抵销</w:t>
      </w:r>
      <w:proofErr w:type="gramEnd"/>
      <w:r>
        <w:rPr>
          <w:rFonts w:ascii="Times New Roman" w:hAnsi="Times New Roman" w:cs="Times New Roman" w:hint="eastAsia"/>
          <w:kern w:val="0"/>
          <w:sz w:val="18"/>
          <w:szCs w:val="18"/>
          <w:lang w:val="zh-CN"/>
        </w:rPr>
        <w:t>后的净额列示：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）本公司内该纳税主体拥有以净额结算当期所得税资产和当期所得税负债的法定权利；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）递延所得税资产和递延所得税负债是与同</w:t>
      </w:r>
      <w:proofErr w:type="gramStart"/>
      <w:r>
        <w:rPr>
          <w:rFonts w:ascii="Times New Roman" w:hAnsi="Times New Roman" w:cs="Times New Roman" w:hint="eastAsia"/>
          <w:kern w:val="0"/>
          <w:sz w:val="18"/>
          <w:szCs w:val="18"/>
          <w:lang w:val="zh-CN"/>
        </w:rPr>
        <w:t>一税收</w:t>
      </w:r>
      <w:proofErr w:type="gramEnd"/>
      <w:r>
        <w:rPr>
          <w:rFonts w:ascii="Times New Roman" w:hAnsi="Times New Roman" w:cs="Times New Roman" w:hint="eastAsia"/>
          <w:kern w:val="0"/>
          <w:sz w:val="18"/>
          <w:szCs w:val="18"/>
          <w:lang w:val="zh-CN"/>
        </w:rPr>
        <w:t>征管部门对本公司内同一纳税主体征收的所得税相关。</w:t>
      </w:r>
    </w:p>
    <w:p w:rsidR="00403CD6" w:rsidRDefault="00E91A59">
      <w:pPr>
        <w:pStyle w:val="30"/>
        <w:spacing w:line="280" w:lineRule="exact"/>
        <w:jc w:val="left"/>
        <w:rPr>
          <w:rFonts w:ascii="Times New Roman" w:eastAsiaTheme="minorEastAsia" w:hAnsi="Times New Roman" w:cs="Times New Roman"/>
          <w:sz w:val="21"/>
        </w:rPr>
      </w:pPr>
      <w:bookmarkStart w:id="48" w:name="_Toc989156"/>
      <w:r>
        <w:rPr>
          <w:rFonts w:ascii="Times New Roman" w:eastAsiaTheme="minorEastAsia" w:hAnsi="Times New Roman" w:cs="Times New Roman" w:hint="eastAsia"/>
          <w:sz w:val="21"/>
        </w:rPr>
        <w:t>34</w:t>
      </w:r>
      <w:r>
        <w:rPr>
          <w:rFonts w:ascii="Times New Roman" w:eastAsiaTheme="minorEastAsia" w:hAnsi="Times New Roman" w:cs="Times New Roman" w:hint="eastAsia"/>
          <w:sz w:val="21"/>
        </w:rPr>
        <w:t>、租赁</w:t>
      </w:r>
      <w:bookmarkEnd w:id="48"/>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）租赁的识别</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合同开始日，本公司作为承租人或出租人评估合同中的客户是否有权获得在使用期间内因使用已识别资产所产生的几乎全部经济利益，并有权在该使用期间主导已识别资产的使用。如果合同中一方让渡了在一定期间内控制一项或多项已识别资产使用的权利以换取对价，则本公司认定合同为租赁或者包含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）本公司作为承租人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在租赁期开始日，本公司对所有租赁确认使用权资产和租赁负债，简化处理的短期租赁和低价值资产租赁除外。</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使用权资产的会计政策见附注五、</w:t>
      </w:r>
      <w:r>
        <w:rPr>
          <w:rFonts w:ascii="Times New Roman" w:hAnsi="Times New Roman" w:cs="Times New Roman" w:hint="eastAsia"/>
          <w:kern w:val="0"/>
          <w:sz w:val="18"/>
          <w:szCs w:val="18"/>
          <w:lang w:val="zh-CN"/>
        </w:rPr>
        <w:t>35</w:t>
      </w:r>
      <w:r>
        <w:rPr>
          <w:rFonts w:ascii="Times New Roman" w:hAnsi="Times New Roman" w:cs="Times New Roman" w:hint="eastAsia"/>
          <w:kern w:val="0"/>
          <w:sz w:val="18"/>
          <w:szCs w:val="18"/>
          <w:lang w:val="zh-CN"/>
        </w:rPr>
        <w:t>。</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负债按照租赁期开始日尚未支付的租赁付款额采用租赁内含利率计算的现值进行初始计量，无法确定租赁内含利率的，采用增量借款利率作为折现率。租赁付款额包括：固定付款额及实质固定付款额，存在租赁激励的，扣除租赁激励</w:t>
      </w:r>
      <w:r>
        <w:rPr>
          <w:rFonts w:ascii="Times New Roman" w:hAnsi="Times New Roman" w:cs="Times New Roman" w:hint="eastAsia"/>
          <w:kern w:val="0"/>
          <w:sz w:val="18"/>
          <w:szCs w:val="18"/>
          <w:lang w:val="zh-CN"/>
        </w:rPr>
        <w:lastRenderedPageBreak/>
        <w:t>相关金额；取决于指数或比率的可变租赁付款额；购买选择权的行权价格，前提是承租人合理确定将行使该选择权；行使终止租赁选择权需支付的款项，前提是租赁</w:t>
      </w:r>
      <w:proofErr w:type="gramStart"/>
      <w:r>
        <w:rPr>
          <w:rFonts w:ascii="Times New Roman" w:hAnsi="Times New Roman" w:cs="Times New Roman" w:hint="eastAsia"/>
          <w:kern w:val="0"/>
          <w:sz w:val="18"/>
          <w:szCs w:val="18"/>
          <w:lang w:val="zh-CN"/>
        </w:rPr>
        <w:t>期反映</w:t>
      </w:r>
      <w:proofErr w:type="gramEnd"/>
      <w:r>
        <w:rPr>
          <w:rFonts w:ascii="Times New Roman" w:hAnsi="Times New Roman" w:cs="Times New Roman" w:hint="eastAsia"/>
          <w:kern w:val="0"/>
          <w:sz w:val="18"/>
          <w:szCs w:val="18"/>
          <w:lang w:val="zh-CN"/>
        </w:rPr>
        <w:t>出承租人将行使终止租赁选择权；以及根据承租人提供的担保余值预计应支付的款项。后续按照固定的周期性利率计算租赁负债在租赁期内各期间的利息费用，并计入当期损益。未纳入租赁负债计量的可变租赁付款额在实际发生时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短期租赁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短期租赁是指在租赁期开始日，租赁期不超过</w:t>
      </w:r>
      <w:r>
        <w:rPr>
          <w:rFonts w:ascii="Times New Roman" w:hAnsi="Times New Roman" w:cs="Times New Roman" w:hint="eastAsia"/>
          <w:kern w:val="0"/>
          <w:sz w:val="18"/>
          <w:szCs w:val="18"/>
          <w:lang w:val="zh-CN"/>
        </w:rPr>
        <w:t>12</w:t>
      </w:r>
      <w:r>
        <w:rPr>
          <w:rFonts w:ascii="Times New Roman" w:hAnsi="Times New Roman" w:cs="Times New Roman" w:hint="eastAsia"/>
          <w:kern w:val="0"/>
          <w:sz w:val="18"/>
          <w:szCs w:val="18"/>
          <w:lang w:val="zh-CN"/>
        </w:rPr>
        <w:t>个月的租赁，包含购买选择权的租赁除外。</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本公司将短期租赁的租赁付款额，在租赁期内各个期间按照直线法的方法计入相关资产成本或当期损益。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对于短期租赁，本公司按照租赁资产的类别将下列资产类型中满足短期租赁条件的项目选择采用上述简化处理方法。</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价值不高的设备</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运输车辆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低价值资产租赁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低价值资产租赁是指单项租赁资产为全新资产时价值低于</w:t>
      </w:r>
      <w:r>
        <w:rPr>
          <w:rFonts w:ascii="Times New Roman" w:hAnsi="Times New Roman" w:cs="Times New Roman" w:hint="eastAsia"/>
          <w:kern w:val="0"/>
          <w:sz w:val="18"/>
          <w:szCs w:val="18"/>
          <w:lang w:val="zh-CN"/>
        </w:rPr>
        <w:t>4</w:t>
      </w:r>
      <w:r>
        <w:rPr>
          <w:rFonts w:ascii="Times New Roman" w:hAnsi="Times New Roman" w:cs="Times New Roman" w:hint="eastAsia"/>
          <w:kern w:val="0"/>
          <w:sz w:val="18"/>
          <w:szCs w:val="18"/>
          <w:lang w:val="zh-CN"/>
        </w:rPr>
        <w:t>万元的租赁。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本公司将低价值资产租赁的租赁付款额，在租赁期内各个期间按照直线法的方法计入相关资产成本或当期损益。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对于低价值资产租赁，本公司根据每项租赁的具体情况选择采用上述简化处理方法。</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租赁变更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发生变更且同时符合下列条件的，本公司将该租赁变更作为一项单独租赁进行会计处理：①该租赁变更通过增加一项或多项租赁资产的使用权而扩大了租赁范围；②增加的对价与租赁范围扩大部分的单独价格按该合同情况调整后的金额相当。</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租赁变更未作为一项单独租赁进行会计处理的，在租赁变更生效日，本公司重新分摊变更后合同的对价，重新确定租赁期，并按照变更后租赁付款额和修订后的折现率计算的现值重新计量租赁负债。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租赁变更导致租赁范围缩小或租赁期缩短的，本公司相应调减使用权资产的账面价值，并将部分终止或完全终止租赁的相关利得或损失计入当期损益。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其他租赁变更导致租赁负债重新计量的，本公司相应调整使用权资产的账面价值。</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3</w:t>
      </w:r>
      <w:r>
        <w:rPr>
          <w:rFonts w:ascii="Times New Roman" w:hAnsi="Times New Roman" w:cs="Times New Roman" w:hint="eastAsia"/>
          <w:kern w:val="0"/>
          <w:sz w:val="18"/>
          <w:szCs w:val="18"/>
          <w:lang w:val="zh-CN"/>
        </w:rPr>
        <w:t>）本公司作为出租人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本公司作为出租人时，将实质上转移了与资产所有权有关的全部风险和报酬的租赁确认为融资租赁，除融资租赁之外的其他租赁确认为经营租赁。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融资租赁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融资租赁中，在租赁期开始日本公司按租赁投资净额作为应收融资租赁款的入账价值，租赁投资净额为未担保余值和租赁期开始日尚未收到的</w:t>
      </w:r>
      <w:proofErr w:type="gramStart"/>
      <w:r>
        <w:rPr>
          <w:rFonts w:ascii="Times New Roman" w:hAnsi="Times New Roman" w:cs="Times New Roman" w:hint="eastAsia"/>
          <w:kern w:val="0"/>
          <w:sz w:val="18"/>
          <w:szCs w:val="18"/>
          <w:lang w:val="zh-CN"/>
        </w:rPr>
        <w:t>租赁收</w:t>
      </w:r>
      <w:proofErr w:type="gramEnd"/>
      <w:r>
        <w:rPr>
          <w:rFonts w:ascii="Times New Roman" w:hAnsi="Times New Roman" w:cs="Times New Roman" w:hint="eastAsia"/>
          <w:kern w:val="0"/>
          <w:sz w:val="18"/>
          <w:szCs w:val="18"/>
          <w:lang w:val="zh-CN"/>
        </w:rPr>
        <w:t>款额按照租赁内含利率折现的现值之</w:t>
      </w:r>
      <w:proofErr w:type="gramStart"/>
      <w:r>
        <w:rPr>
          <w:rFonts w:ascii="Times New Roman" w:hAnsi="Times New Roman" w:cs="Times New Roman" w:hint="eastAsia"/>
          <w:kern w:val="0"/>
          <w:sz w:val="18"/>
          <w:szCs w:val="18"/>
          <w:lang w:val="zh-CN"/>
        </w:rPr>
        <w:t>和</w:t>
      </w:r>
      <w:proofErr w:type="gramEnd"/>
      <w:r>
        <w:rPr>
          <w:rFonts w:ascii="Times New Roman" w:hAnsi="Times New Roman" w:cs="Times New Roman" w:hint="eastAsia"/>
          <w:kern w:val="0"/>
          <w:sz w:val="18"/>
          <w:szCs w:val="18"/>
          <w:lang w:val="zh-CN"/>
        </w:rPr>
        <w:t>。本公司作为出租人按照固定的周期性利率计算并确认租赁期内各个期间的利息收入。本公司作为出租人取得的未纳入租赁投资净额计量的可变租赁付款额在实际发生时计入当期损益。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应收融资租赁款的终止确认和减值按照《企业会计准则第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号——金融工具确认和计量》和《企业会计准则第</w:t>
      </w:r>
      <w:r>
        <w:rPr>
          <w:rFonts w:ascii="Times New Roman" w:hAnsi="Times New Roman" w:cs="Times New Roman" w:hint="eastAsia"/>
          <w:kern w:val="0"/>
          <w:sz w:val="18"/>
          <w:szCs w:val="18"/>
          <w:lang w:val="zh-CN"/>
        </w:rPr>
        <w:t>23</w:t>
      </w:r>
      <w:r>
        <w:rPr>
          <w:rFonts w:ascii="Times New Roman" w:hAnsi="Times New Roman" w:cs="Times New Roman" w:hint="eastAsia"/>
          <w:kern w:val="0"/>
          <w:sz w:val="18"/>
          <w:szCs w:val="18"/>
          <w:lang w:val="zh-CN"/>
        </w:rPr>
        <w:t>号——金融资产转移》的规定进行会计处理。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经营租赁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经营租赁中的租金，本公司在租赁期内各个期间按照直线法确认当期损益。发生的与经营租赁有关的初始直接费用应当资本化，在租赁期内按照与租金收入确认相同的基础进行分摊，分期计入当期损益。取得的与经营租赁有关的未计入</w:t>
      </w:r>
      <w:proofErr w:type="gramStart"/>
      <w:r>
        <w:rPr>
          <w:rFonts w:ascii="Times New Roman" w:hAnsi="Times New Roman" w:cs="Times New Roman" w:hint="eastAsia"/>
          <w:kern w:val="0"/>
          <w:sz w:val="18"/>
          <w:szCs w:val="18"/>
          <w:lang w:val="zh-CN"/>
        </w:rPr>
        <w:t>租赁收</w:t>
      </w:r>
      <w:proofErr w:type="gramEnd"/>
      <w:r>
        <w:rPr>
          <w:rFonts w:ascii="Times New Roman" w:hAnsi="Times New Roman" w:cs="Times New Roman" w:hint="eastAsia"/>
          <w:kern w:val="0"/>
          <w:sz w:val="18"/>
          <w:szCs w:val="18"/>
          <w:lang w:val="zh-CN"/>
        </w:rPr>
        <w:t>款额的可变租赁付款额，在实际发生时计入当期损益。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租赁变更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经营租赁发生变更的，本公司自变更生效日起将其作为一项新租赁进行会计处理，与变更前租赁有关的预收或应收</w:t>
      </w:r>
      <w:proofErr w:type="gramStart"/>
      <w:r>
        <w:rPr>
          <w:rFonts w:ascii="Times New Roman" w:hAnsi="Times New Roman" w:cs="Times New Roman" w:hint="eastAsia"/>
          <w:kern w:val="0"/>
          <w:sz w:val="18"/>
          <w:szCs w:val="18"/>
          <w:lang w:val="zh-CN"/>
        </w:rPr>
        <w:t>租赁收</w:t>
      </w:r>
      <w:proofErr w:type="gramEnd"/>
      <w:r>
        <w:rPr>
          <w:rFonts w:ascii="Times New Roman" w:hAnsi="Times New Roman" w:cs="Times New Roman" w:hint="eastAsia"/>
          <w:kern w:val="0"/>
          <w:sz w:val="18"/>
          <w:szCs w:val="18"/>
          <w:lang w:val="zh-CN"/>
        </w:rPr>
        <w:t>款额视为新租赁的收款额。</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融资租赁发生变更且同时符合下列条件的，本公司将该变更作为一项单独租赁进行会计处理：①该变更通过增加一项或多项租赁资产的使用权而扩大了租赁范围；②增加的对价与租赁范围扩大部分的单独价格按该合同情况调整后的金额相当。</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融资租赁发生变更未作为一项单独租赁进行会计处理的，本公司分别下列情形对变更后的租赁进行处理：①假如变更</w:t>
      </w:r>
      <w:r>
        <w:rPr>
          <w:rFonts w:ascii="Times New Roman" w:hAnsi="Times New Roman" w:cs="Times New Roman" w:hint="eastAsia"/>
          <w:kern w:val="0"/>
          <w:sz w:val="18"/>
          <w:szCs w:val="18"/>
          <w:lang w:val="zh-CN"/>
        </w:rPr>
        <w:lastRenderedPageBreak/>
        <w:t>在租赁开始日生效，该租赁会被分类为经营租赁的，本公司自租赁变更生效日开始将其作为一项新租赁进行会计处理，并以租赁变更生效日前的租赁投资净额作为租赁资产的账面价值；②假如变更在租赁开始日生效，该租赁会被分类为融资租赁的，本公司按照《企业会计准则第</w:t>
      </w:r>
      <w:r>
        <w:rPr>
          <w:rFonts w:ascii="Times New Roman" w:hAnsi="Times New Roman" w:cs="Times New Roman" w:hint="eastAsia"/>
          <w:kern w:val="0"/>
          <w:sz w:val="18"/>
          <w:szCs w:val="18"/>
          <w:lang w:val="zh-CN"/>
        </w:rPr>
        <w:t xml:space="preserve">22 </w:t>
      </w:r>
      <w:r>
        <w:rPr>
          <w:rFonts w:ascii="Times New Roman" w:hAnsi="Times New Roman" w:cs="Times New Roman" w:hint="eastAsia"/>
          <w:kern w:val="0"/>
          <w:sz w:val="18"/>
          <w:szCs w:val="18"/>
          <w:lang w:val="zh-CN"/>
        </w:rPr>
        <w:t>号——金融工具确认和计量》关于修改或重新议定合同的规定进行会计处理。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4</w:t>
      </w:r>
      <w:r>
        <w:rPr>
          <w:rFonts w:ascii="Times New Roman" w:hAnsi="Times New Roman" w:cs="Times New Roman" w:hint="eastAsia"/>
          <w:kern w:val="0"/>
          <w:sz w:val="18"/>
          <w:szCs w:val="18"/>
          <w:lang w:val="zh-CN"/>
        </w:rPr>
        <w:t>）转租赁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本公司作为转租出租人时，基于原租赁产生的使用权资产对转租赁进行分类。原租赁为短期租赁，且本公司对原租赁进行简化处理的，将该转租赁分类为经营租赁。</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5</w:t>
      </w:r>
      <w:r>
        <w:rPr>
          <w:rFonts w:ascii="Times New Roman" w:hAnsi="Times New Roman" w:cs="Times New Roman" w:hint="eastAsia"/>
          <w:kern w:val="0"/>
          <w:sz w:val="18"/>
          <w:szCs w:val="18"/>
          <w:lang w:val="zh-CN"/>
        </w:rPr>
        <w:t>）售后回租</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承租人和出租人按照《企业会计准则第</w:t>
      </w:r>
      <w:r>
        <w:rPr>
          <w:rFonts w:ascii="Times New Roman" w:hAnsi="Times New Roman" w:cs="Times New Roman" w:hint="eastAsia"/>
          <w:kern w:val="0"/>
          <w:sz w:val="18"/>
          <w:szCs w:val="18"/>
          <w:lang w:val="zh-CN"/>
        </w:rPr>
        <w:t>14</w:t>
      </w:r>
      <w:r>
        <w:rPr>
          <w:rFonts w:ascii="Times New Roman" w:hAnsi="Times New Roman" w:cs="Times New Roman" w:hint="eastAsia"/>
          <w:kern w:val="0"/>
          <w:sz w:val="18"/>
          <w:szCs w:val="18"/>
          <w:lang w:val="zh-CN"/>
        </w:rPr>
        <w:t>号——收入》的规定，评估确定售后租回交易中的资产转让是否属于销售。</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售后租回交易中的资产转让属于销售的，承租人按原资产账面价值中与租回获得的使用权有关的部分，计量售后租回所形成的使用权资产，并仅就转让至出租人的权利确认相关利得或损失；出租人根据其他适用的企业会计准则对资产购买进行会计处理，并根据本准则对资产出租进行会计处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售后租回交易中的资产转让不属于销售的，承租人继续确认被转让资产，同时确认一项与转让收入等额的金融负债，并按照《企业会计准则第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号——金融工具确认和计量》对该金融负债进行会计处理；出租人不确认被转让资产，但确认一项与转让收入等额的金融资产，并按照《企业会计准则第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号——金融工具确认和计量》对该金融资产进行会计处理。</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35</w:t>
      </w:r>
      <w:r>
        <w:rPr>
          <w:rFonts w:ascii="Times New Roman" w:eastAsiaTheme="minorEastAsia" w:hAnsi="Times New Roman" w:cs="Times New Roman"/>
          <w:sz w:val="21"/>
        </w:rPr>
        <w:t>、</w:t>
      </w:r>
      <w:r>
        <w:rPr>
          <w:rFonts w:ascii="Times New Roman" w:eastAsiaTheme="minorEastAsia" w:hAnsi="Times New Roman" w:cs="Times New Roman" w:hint="eastAsia"/>
          <w:sz w:val="21"/>
        </w:rPr>
        <w:t>使用权资产</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）使用权资产确认条件</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使用权资产是指本公司作为承租人可在租赁期内使用租赁资产的权利。</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在租赁期开始日，使用权资产按照成本进行初始计量。</w:t>
      </w:r>
      <w:proofErr w:type="gramStart"/>
      <w:r>
        <w:rPr>
          <w:rFonts w:ascii="Times New Roman" w:hAnsi="Times New Roman" w:cs="Times New Roman" w:hint="eastAsia"/>
          <w:kern w:val="0"/>
          <w:sz w:val="18"/>
          <w:szCs w:val="18"/>
          <w:lang w:val="zh-CN"/>
        </w:rPr>
        <w:t>该成本</w:t>
      </w:r>
      <w:proofErr w:type="gramEnd"/>
      <w:r>
        <w:rPr>
          <w:rFonts w:ascii="Times New Roman" w:hAnsi="Times New Roman" w:cs="Times New Roman" w:hint="eastAsia"/>
          <w:kern w:val="0"/>
          <w:sz w:val="18"/>
          <w:szCs w:val="18"/>
          <w:lang w:val="zh-CN"/>
        </w:rPr>
        <w:t>包括：租赁负债的初始计量金额；在租赁期开始日或之前支付的租赁付款额，存在租赁激励的，扣除已享受的租赁激励相关金额；本公司作为承租人发生的初始直接费用；本公司作为承租人为拆卸及移除租赁资产、复原租赁资产所在场地或将租赁资产恢复至租赁条款约定状态预计将发生的成本。本公司作为承租人按照《企业会计准则第</w:t>
      </w:r>
      <w:r>
        <w:rPr>
          <w:rFonts w:ascii="Times New Roman" w:hAnsi="Times New Roman" w:cs="Times New Roman" w:hint="eastAsia"/>
          <w:kern w:val="0"/>
          <w:sz w:val="18"/>
          <w:szCs w:val="18"/>
          <w:lang w:val="zh-CN"/>
        </w:rPr>
        <w:t>13</w:t>
      </w:r>
      <w:r>
        <w:rPr>
          <w:rFonts w:ascii="Times New Roman" w:hAnsi="Times New Roman" w:cs="Times New Roman" w:hint="eastAsia"/>
          <w:kern w:val="0"/>
          <w:sz w:val="18"/>
          <w:szCs w:val="18"/>
          <w:lang w:val="zh-CN"/>
        </w:rPr>
        <w:t>号——或有事项》对拆除复原等成本进行确认和计量。后续就租赁负债的任何重新计量</w:t>
      </w:r>
      <w:proofErr w:type="gramStart"/>
      <w:r>
        <w:rPr>
          <w:rFonts w:ascii="Times New Roman" w:hAnsi="Times New Roman" w:cs="Times New Roman" w:hint="eastAsia"/>
          <w:kern w:val="0"/>
          <w:sz w:val="18"/>
          <w:szCs w:val="18"/>
          <w:lang w:val="zh-CN"/>
        </w:rPr>
        <w:t>作出</w:t>
      </w:r>
      <w:proofErr w:type="gramEnd"/>
      <w:r>
        <w:rPr>
          <w:rFonts w:ascii="Times New Roman" w:hAnsi="Times New Roman" w:cs="Times New Roman" w:hint="eastAsia"/>
          <w:kern w:val="0"/>
          <w:sz w:val="18"/>
          <w:szCs w:val="18"/>
          <w:lang w:val="zh-CN"/>
        </w:rPr>
        <w:t>调整。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）使用权资产的折旧方法</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采用直线法计提折旧。本公司作为承租人能够合理确定租赁期届满时取得租赁资产所有权的，在租赁资产剩余使用寿命内计提折旧。无法合理确定租赁期届满时能够取得租赁资产所有权的，在租赁期与租赁资产剩余使用寿命两者孰短的期间内计提折旧。</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3</w:t>
      </w:r>
      <w:r>
        <w:rPr>
          <w:rFonts w:ascii="Times New Roman" w:hAnsi="Times New Roman" w:cs="Times New Roman" w:hint="eastAsia"/>
          <w:kern w:val="0"/>
          <w:sz w:val="18"/>
          <w:szCs w:val="18"/>
          <w:lang w:val="zh-CN"/>
        </w:rPr>
        <w:t>）使用权资产的减值测试方法、减值准备计提方法见附注五、</w:t>
      </w:r>
      <w:r>
        <w:rPr>
          <w:rFonts w:ascii="Times New Roman" w:hAnsi="Times New Roman" w:cs="Times New Roman" w:hint="eastAsia"/>
          <w:kern w:val="0"/>
          <w:sz w:val="18"/>
          <w:szCs w:val="18"/>
          <w:lang w:val="zh-CN"/>
        </w:rPr>
        <w:t>23</w:t>
      </w:r>
      <w:r>
        <w:rPr>
          <w:rFonts w:ascii="Times New Roman" w:hAnsi="Times New Roman" w:cs="Times New Roman" w:hint="eastAsia"/>
          <w:kern w:val="0"/>
          <w:sz w:val="18"/>
          <w:szCs w:val="18"/>
          <w:lang w:val="zh-CN"/>
        </w:rPr>
        <w:t>。</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36</w:t>
      </w:r>
      <w:r>
        <w:rPr>
          <w:rFonts w:ascii="Times New Roman" w:eastAsiaTheme="minorEastAsia" w:hAnsi="Times New Roman" w:cs="Times New Roman" w:hint="eastAsia"/>
          <w:sz w:val="21"/>
        </w:rPr>
        <w:t>、安全生产费用及维简费</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本公司根据有关规定，根据上年电厂营业收入和规定的比例提取安全生产费用。具体提取标注如下：①上一年度营业收入不超过</w:t>
      </w:r>
      <w:r>
        <w:rPr>
          <w:rFonts w:ascii="Times New Roman" w:hAnsi="Times New Roman" w:cs="Times New Roman" w:hint="eastAsia"/>
          <w:kern w:val="0"/>
          <w:sz w:val="18"/>
          <w:szCs w:val="18"/>
          <w:lang w:val="zh-CN"/>
        </w:rPr>
        <w:t>1000</w:t>
      </w:r>
      <w:r>
        <w:rPr>
          <w:rFonts w:ascii="Times New Roman" w:hAnsi="Times New Roman" w:cs="Times New Roman" w:hint="eastAsia"/>
          <w:kern w:val="0"/>
          <w:sz w:val="18"/>
          <w:szCs w:val="18"/>
          <w:lang w:val="zh-CN"/>
        </w:rPr>
        <w:t>万元的，按照</w:t>
      </w:r>
      <w:r>
        <w:rPr>
          <w:rFonts w:ascii="Times New Roman" w:hAnsi="Times New Roman" w:cs="Times New Roman" w:hint="eastAsia"/>
          <w:kern w:val="0"/>
          <w:sz w:val="18"/>
          <w:szCs w:val="18"/>
          <w:lang w:val="zh-CN"/>
        </w:rPr>
        <w:t>3%</w:t>
      </w:r>
      <w:r>
        <w:rPr>
          <w:rFonts w:ascii="Times New Roman" w:hAnsi="Times New Roman" w:cs="Times New Roman" w:hint="eastAsia"/>
          <w:kern w:val="0"/>
          <w:sz w:val="18"/>
          <w:szCs w:val="18"/>
          <w:lang w:val="zh-CN"/>
        </w:rPr>
        <w:t>提取；②上一年度营业收入超过</w:t>
      </w:r>
      <w:r>
        <w:rPr>
          <w:rFonts w:ascii="Times New Roman" w:hAnsi="Times New Roman" w:cs="Times New Roman" w:hint="eastAsia"/>
          <w:kern w:val="0"/>
          <w:sz w:val="18"/>
          <w:szCs w:val="18"/>
          <w:lang w:val="zh-CN"/>
        </w:rPr>
        <w:t>1000</w:t>
      </w:r>
      <w:r>
        <w:rPr>
          <w:rFonts w:ascii="Times New Roman" w:hAnsi="Times New Roman" w:cs="Times New Roman" w:hint="eastAsia"/>
          <w:kern w:val="0"/>
          <w:sz w:val="18"/>
          <w:szCs w:val="18"/>
          <w:lang w:val="zh-CN"/>
        </w:rPr>
        <w:t>万元至</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亿元的部分，按照</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提取；③上一年度营业收入超过</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亿元至</w:t>
      </w:r>
      <w:r>
        <w:rPr>
          <w:rFonts w:ascii="Times New Roman" w:hAnsi="Times New Roman" w:cs="Times New Roman" w:hint="eastAsia"/>
          <w:kern w:val="0"/>
          <w:sz w:val="18"/>
          <w:szCs w:val="18"/>
          <w:lang w:val="zh-CN"/>
        </w:rPr>
        <w:t>10</w:t>
      </w:r>
      <w:r>
        <w:rPr>
          <w:rFonts w:ascii="Times New Roman" w:hAnsi="Times New Roman" w:cs="Times New Roman" w:hint="eastAsia"/>
          <w:kern w:val="0"/>
          <w:sz w:val="18"/>
          <w:szCs w:val="18"/>
          <w:lang w:val="zh-CN"/>
        </w:rPr>
        <w:t>亿元的部分，按照</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提取；④上一年度营业收入超过</w:t>
      </w:r>
      <w:r>
        <w:rPr>
          <w:rFonts w:ascii="Times New Roman" w:hAnsi="Times New Roman" w:cs="Times New Roman" w:hint="eastAsia"/>
          <w:kern w:val="0"/>
          <w:sz w:val="18"/>
          <w:szCs w:val="18"/>
          <w:lang w:val="zh-CN"/>
        </w:rPr>
        <w:t>10</w:t>
      </w:r>
      <w:r>
        <w:rPr>
          <w:rFonts w:ascii="Times New Roman" w:hAnsi="Times New Roman" w:cs="Times New Roman" w:hint="eastAsia"/>
          <w:kern w:val="0"/>
          <w:sz w:val="18"/>
          <w:szCs w:val="18"/>
          <w:lang w:val="zh-CN"/>
        </w:rPr>
        <w:t>亿元至</w:t>
      </w:r>
      <w:r>
        <w:rPr>
          <w:rFonts w:ascii="Times New Roman" w:hAnsi="Times New Roman" w:cs="Times New Roman" w:hint="eastAsia"/>
          <w:kern w:val="0"/>
          <w:sz w:val="18"/>
          <w:szCs w:val="18"/>
          <w:lang w:val="zh-CN"/>
        </w:rPr>
        <w:t>50</w:t>
      </w:r>
      <w:r>
        <w:rPr>
          <w:rFonts w:ascii="Times New Roman" w:hAnsi="Times New Roman" w:cs="Times New Roman" w:hint="eastAsia"/>
          <w:kern w:val="0"/>
          <w:sz w:val="18"/>
          <w:szCs w:val="18"/>
          <w:lang w:val="zh-CN"/>
        </w:rPr>
        <w:t>亿元的部分，按照</w:t>
      </w:r>
      <w:r>
        <w:rPr>
          <w:rFonts w:ascii="Times New Roman" w:hAnsi="Times New Roman" w:cs="Times New Roman" w:hint="eastAsia"/>
          <w:kern w:val="0"/>
          <w:sz w:val="18"/>
          <w:szCs w:val="18"/>
          <w:lang w:val="zh-CN"/>
        </w:rPr>
        <w:t>0.8%</w:t>
      </w:r>
      <w:r>
        <w:rPr>
          <w:rFonts w:ascii="Times New Roman" w:hAnsi="Times New Roman" w:cs="Times New Roman" w:hint="eastAsia"/>
          <w:kern w:val="0"/>
          <w:sz w:val="18"/>
          <w:szCs w:val="18"/>
          <w:lang w:val="zh-CN"/>
        </w:rPr>
        <w:t>提取；⑤上一年度营业收入超过</w:t>
      </w:r>
      <w:r>
        <w:rPr>
          <w:rFonts w:ascii="Times New Roman" w:hAnsi="Times New Roman" w:cs="Times New Roman" w:hint="eastAsia"/>
          <w:kern w:val="0"/>
          <w:sz w:val="18"/>
          <w:szCs w:val="18"/>
          <w:lang w:val="zh-CN"/>
        </w:rPr>
        <w:t>50</w:t>
      </w:r>
      <w:r>
        <w:rPr>
          <w:rFonts w:ascii="Times New Roman" w:hAnsi="Times New Roman" w:cs="Times New Roman" w:hint="eastAsia"/>
          <w:kern w:val="0"/>
          <w:sz w:val="18"/>
          <w:szCs w:val="18"/>
          <w:lang w:val="zh-CN"/>
        </w:rPr>
        <w:t>亿元至</w:t>
      </w:r>
      <w:r>
        <w:rPr>
          <w:rFonts w:ascii="Times New Roman" w:hAnsi="Times New Roman" w:cs="Times New Roman" w:hint="eastAsia"/>
          <w:kern w:val="0"/>
          <w:sz w:val="18"/>
          <w:szCs w:val="18"/>
          <w:lang w:val="zh-CN"/>
        </w:rPr>
        <w:t>100</w:t>
      </w:r>
      <w:r>
        <w:rPr>
          <w:rFonts w:ascii="Times New Roman" w:hAnsi="Times New Roman" w:cs="Times New Roman" w:hint="eastAsia"/>
          <w:kern w:val="0"/>
          <w:sz w:val="18"/>
          <w:szCs w:val="18"/>
          <w:lang w:val="zh-CN"/>
        </w:rPr>
        <w:t>亿元的部分，按照</w:t>
      </w:r>
      <w:r>
        <w:rPr>
          <w:rFonts w:ascii="Times New Roman" w:hAnsi="Times New Roman" w:cs="Times New Roman" w:hint="eastAsia"/>
          <w:kern w:val="0"/>
          <w:sz w:val="18"/>
          <w:szCs w:val="18"/>
          <w:lang w:val="zh-CN"/>
        </w:rPr>
        <w:t>0.6%</w:t>
      </w:r>
      <w:r>
        <w:rPr>
          <w:rFonts w:ascii="Times New Roman" w:hAnsi="Times New Roman" w:cs="Times New Roman" w:hint="eastAsia"/>
          <w:kern w:val="0"/>
          <w:sz w:val="18"/>
          <w:szCs w:val="18"/>
          <w:lang w:val="zh-CN"/>
        </w:rPr>
        <w:t>提取；⑥上一年度营业收入超过</w:t>
      </w:r>
      <w:r>
        <w:rPr>
          <w:rFonts w:ascii="Times New Roman" w:hAnsi="Times New Roman" w:cs="Times New Roman" w:hint="eastAsia"/>
          <w:kern w:val="0"/>
          <w:sz w:val="18"/>
          <w:szCs w:val="18"/>
          <w:lang w:val="zh-CN"/>
        </w:rPr>
        <w:t>100</w:t>
      </w:r>
      <w:r>
        <w:rPr>
          <w:rFonts w:ascii="Times New Roman" w:hAnsi="Times New Roman" w:cs="Times New Roman" w:hint="eastAsia"/>
          <w:kern w:val="0"/>
          <w:sz w:val="18"/>
          <w:szCs w:val="18"/>
          <w:lang w:val="zh-CN"/>
        </w:rPr>
        <w:t>亿元的部分，按照</w:t>
      </w:r>
      <w:r>
        <w:rPr>
          <w:rFonts w:ascii="Times New Roman" w:hAnsi="Times New Roman" w:cs="Times New Roman" w:hint="eastAsia"/>
          <w:kern w:val="0"/>
          <w:sz w:val="18"/>
          <w:szCs w:val="18"/>
          <w:lang w:val="zh-CN"/>
        </w:rPr>
        <w:t>0.2%</w:t>
      </w:r>
      <w:r>
        <w:rPr>
          <w:rFonts w:ascii="Times New Roman" w:hAnsi="Times New Roman" w:cs="Times New Roman" w:hint="eastAsia"/>
          <w:kern w:val="0"/>
          <w:sz w:val="18"/>
          <w:szCs w:val="18"/>
          <w:lang w:val="zh-CN"/>
        </w:rPr>
        <w:t>提取。</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安全生产费用及维简费于提取时计入相关产品的成本或当期损益，同时计入“专项储备”科目。</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提取的安全生产费及维简费按规定范围使用时，属于费用性支出的，直接冲减专项储备；形成固定资产的，先通过“在建工程”科目归集所发生的支出，</w:t>
      </w:r>
      <w:proofErr w:type="gramStart"/>
      <w:r>
        <w:rPr>
          <w:rFonts w:ascii="Times New Roman" w:hAnsi="Times New Roman" w:cs="Times New Roman" w:hint="eastAsia"/>
          <w:kern w:val="0"/>
          <w:sz w:val="18"/>
          <w:szCs w:val="18"/>
          <w:lang w:val="zh-CN"/>
        </w:rPr>
        <w:t>待安全</w:t>
      </w:r>
      <w:proofErr w:type="gramEnd"/>
      <w:r>
        <w:rPr>
          <w:rFonts w:ascii="Times New Roman" w:hAnsi="Times New Roman" w:cs="Times New Roman" w:hint="eastAsia"/>
          <w:kern w:val="0"/>
          <w:sz w:val="18"/>
          <w:szCs w:val="18"/>
          <w:lang w:val="zh-CN"/>
        </w:rPr>
        <w:t>项目完工达到预定可使用状态时确认为固定资产；同时，按照形成固定资产的成本冲减专项储备，并确认相同金额的累计折旧。该固定资产在以后期间不再计提折旧。</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37</w:t>
      </w:r>
      <w:r>
        <w:rPr>
          <w:rFonts w:ascii="Times New Roman" w:eastAsiaTheme="minorEastAsia" w:hAnsi="Times New Roman" w:cs="Times New Roman" w:hint="eastAsia"/>
          <w:sz w:val="21"/>
        </w:rPr>
        <w:t>、回购股份</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本公司回购的股份在注销或者转让之前，作为库存股管理，回购股份的全部支出转作库存股成本。股份回购中支付的对价和交易费用减少所有者权益，回购、转让或注销本公司股份时，不确认利得或损失。</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lastRenderedPageBreak/>
        <w:t>转让库存股，按实际收到的金额与库存股账面金额的差额，计入资本公积，资本公</w:t>
      </w:r>
      <w:proofErr w:type="gramStart"/>
      <w:r>
        <w:rPr>
          <w:rFonts w:ascii="Times New Roman" w:hAnsi="Times New Roman" w:cs="Times New Roman" w:hint="eastAsia"/>
          <w:kern w:val="0"/>
          <w:sz w:val="18"/>
          <w:szCs w:val="18"/>
          <w:lang w:val="zh-CN"/>
        </w:rPr>
        <w:t>积不足</w:t>
      </w:r>
      <w:proofErr w:type="gramEnd"/>
      <w:r>
        <w:rPr>
          <w:rFonts w:ascii="Times New Roman" w:hAnsi="Times New Roman" w:cs="Times New Roman" w:hint="eastAsia"/>
          <w:kern w:val="0"/>
          <w:sz w:val="18"/>
          <w:szCs w:val="18"/>
          <w:lang w:val="zh-CN"/>
        </w:rPr>
        <w:t>冲减的，冲减盈余公积和未分配利润。注销库存股，按股票面值和注销股数减少股本，按注销库存股的账面余额与面值的差额，冲减资本公积，资本公</w:t>
      </w:r>
      <w:proofErr w:type="gramStart"/>
      <w:r>
        <w:rPr>
          <w:rFonts w:ascii="Times New Roman" w:hAnsi="Times New Roman" w:cs="Times New Roman" w:hint="eastAsia"/>
          <w:kern w:val="0"/>
          <w:sz w:val="18"/>
          <w:szCs w:val="18"/>
          <w:lang w:val="zh-CN"/>
        </w:rPr>
        <w:t>积不足</w:t>
      </w:r>
      <w:proofErr w:type="gramEnd"/>
      <w:r>
        <w:rPr>
          <w:rFonts w:ascii="Times New Roman" w:hAnsi="Times New Roman" w:cs="Times New Roman" w:hint="eastAsia"/>
          <w:kern w:val="0"/>
          <w:sz w:val="18"/>
          <w:szCs w:val="18"/>
          <w:lang w:val="zh-CN"/>
        </w:rPr>
        <w:t>冲减的，冲减盈余公积和未分配利润。</w:t>
      </w:r>
    </w:p>
    <w:p w:rsidR="00403CD6" w:rsidRDefault="00E91A59">
      <w:pPr>
        <w:pStyle w:val="30"/>
        <w:spacing w:line="280" w:lineRule="exact"/>
        <w:jc w:val="left"/>
        <w:rPr>
          <w:rFonts w:ascii="Times New Roman" w:eastAsiaTheme="minorEastAsia" w:hAnsi="Times New Roman" w:cs="Times New Roman"/>
          <w:sz w:val="21"/>
        </w:rPr>
      </w:pPr>
      <w:r>
        <w:rPr>
          <w:rFonts w:ascii="Times New Roman" w:eastAsiaTheme="minorEastAsia" w:hAnsi="Times New Roman" w:cs="Times New Roman" w:hint="eastAsia"/>
          <w:sz w:val="21"/>
        </w:rPr>
        <w:t>38</w:t>
      </w:r>
      <w:r>
        <w:rPr>
          <w:rFonts w:ascii="Times New Roman" w:eastAsiaTheme="minorEastAsia" w:hAnsi="Times New Roman" w:cs="Times New Roman" w:hint="eastAsia"/>
          <w:sz w:val="21"/>
        </w:rPr>
        <w:t>、债务重组</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）本公司作为债务人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在债务的现时义务解除时终止确认债务，具体而言，在债务重组协议的执行过程和结果不确定性消除时，确认债务重组相关损益。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以资产清偿债务方式进行债务重组的，本公司在相关资产和所清偿债务符合终止确认条件时予以终止确认，所清偿债务账面价值与转让资产账面价值之间的差额计入当期损益。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将债务转为权益工具方式进行债务重组的，本公司在所清偿债务符合终止确认条件时予以终止确认。本公司初始确认权益工具时按照权益工具的公允价值计量，权益工具的公允价值不能可靠计量的，按照所清偿债务的公允价值计量。所清偿债务账面价值与权益工具确认金额之间的差额，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采用修改其他条款方式进行债务重组的，本公司按照《企业会计准则第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号——金融工具确认和计量》和《企业会计准则第</w:t>
      </w:r>
      <w:r>
        <w:rPr>
          <w:rFonts w:ascii="Times New Roman" w:hAnsi="Times New Roman" w:cs="Times New Roman" w:hint="eastAsia"/>
          <w:kern w:val="0"/>
          <w:sz w:val="18"/>
          <w:szCs w:val="18"/>
          <w:lang w:val="zh-CN"/>
        </w:rPr>
        <w:t>37</w:t>
      </w:r>
      <w:r>
        <w:rPr>
          <w:rFonts w:ascii="Times New Roman" w:hAnsi="Times New Roman" w:cs="Times New Roman" w:hint="eastAsia"/>
          <w:kern w:val="0"/>
          <w:sz w:val="18"/>
          <w:szCs w:val="18"/>
          <w:lang w:val="zh-CN"/>
        </w:rPr>
        <w:t>号——金融工具列报》的规定，确认和计量重组债务。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以多项资产清偿债务或者组合方式进行债务重组的，本公司按照前述方法确认和计量权益工具和重组债务，所清偿债务的账面价值与转让资产的账面价值以及权益工具和重组债务的确认金额之和的差额，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）本公司作为债权人</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在收取债权现金流量的合同权利终止时终止确认债权。具体而言，在债务重组协议的执行过程和结果不确定性消除时，确认债务重组相关损益。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以资产清偿债务方式进行债务重组的，本公司初始确认受让的金融资产以外的资产时，以成本计量，其中存货的成本，包括放弃债权的公允价值和使该资产达到当前位置和状态所发生的可直接归属于该资产的税金、运输费、装卸费、保险费等其他成本。对联营企业或合营企业投资的成本，包括放弃债权的公允价值和</w:t>
      </w:r>
      <w:proofErr w:type="gramStart"/>
      <w:r>
        <w:rPr>
          <w:rFonts w:ascii="Times New Roman" w:hAnsi="Times New Roman" w:cs="Times New Roman" w:hint="eastAsia"/>
          <w:kern w:val="0"/>
          <w:sz w:val="18"/>
          <w:szCs w:val="18"/>
          <w:lang w:val="zh-CN"/>
        </w:rPr>
        <w:t>可</w:t>
      </w:r>
      <w:proofErr w:type="gramEnd"/>
      <w:r>
        <w:rPr>
          <w:rFonts w:ascii="Times New Roman" w:hAnsi="Times New Roman" w:cs="Times New Roman" w:hint="eastAsia"/>
          <w:kern w:val="0"/>
          <w:sz w:val="18"/>
          <w:szCs w:val="18"/>
          <w:lang w:val="zh-CN"/>
        </w:rPr>
        <w:t>直接归属于该资产的税金等其他成本。投资性房地产的成本，包括放弃债权的公允价值和</w:t>
      </w:r>
      <w:proofErr w:type="gramStart"/>
      <w:r>
        <w:rPr>
          <w:rFonts w:ascii="Times New Roman" w:hAnsi="Times New Roman" w:cs="Times New Roman" w:hint="eastAsia"/>
          <w:kern w:val="0"/>
          <w:sz w:val="18"/>
          <w:szCs w:val="18"/>
          <w:lang w:val="zh-CN"/>
        </w:rPr>
        <w:t>可</w:t>
      </w:r>
      <w:proofErr w:type="gramEnd"/>
      <w:r>
        <w:rPr>
          <w:rFonts w:ascii="Times New Roman" w:hAnsi="Times New Roman" w:cs="Times New Roman" w:hint="eastAsia"/>
          <w:kern w:val="0"/>
          <w:sz w:val="18"/>
          <w:szCs w:val="18"/>
          <w:lang w:val="zh-CN"/>
        </w:rPr>
        <w:t>直接归属于该资产的税金等其他成本。固定资产的成本，包括放弃债权的公允价值和使该资产达到预定可使用状态前所发生的可直接归属于该资产的税金、运输费、装卸费、安装费、专业人员服务费等其他成本。无形资产的成本，包括放弃债权的公允价值和</w:t>
      </w:r>
      <w:proofErr w:type="gramStart"/>
      <w:r>
        <w:rPr>
          <w:rFonts w:ascii="Times New Roman" w:hAnsi="Times New Roman" w:cs="Times New Roman" w:hint="eastAsia"/>
          <w:kern w:val="0"/>
          <w:sz w:val="18"/>
          <w:szCs w:val="18"/>
          <w:lang w:val="zh-CN"/>
        </w:rPr>
        <w:t>可</w:t>
      </w:r>
      <w:proofErr w:type="gramEnd"/>
      <w:r>
        <w:rPr>
          <w:rFonts w:ascii="Times New Roman" w:hAnsi="Times New Roman" w:cs="Times New Roman" w:hint="eastAsia"/>
          <w:kern w:val="0"/>
          <w:sz w:val="18"/>
          <w:szCs w:val="18"/>
          <w:lang w:val="zh-CN"/>
        </w:rPr>
        <w:t>直接归属于使该资产达到预定用途所发生的税金等其他成本。放弃债权的公允价值与账面价值之间的差额，计入当期损益。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将债务转为权益工具方式进行的债务重组导致本公司将债权转为对联营企业或合营企业的权益性投资的，本公司按照放弃债权的公允价值和</w:t>
      </w:r>
      <w:proofErr w:type="gramStart"/>
      <w:r>
        <w:rPr>
          <w:rFonts w:ascii="Times New Roman" w:hAnsi="Times New Roman" w:cs="Times New Roman" w:hint="eastAsia"/>
          <w:kern w:val="0"/>
          <w:sz w:val="18"/>
          <w:szCs w:val="18"/>
          <w:lang w:val="zh-CN"/>
        </w:rPr>
        <w:t>可</w:t>
      </w:r>
      <w:proofErr w:type="gramEnd"/>
      <w:r>
        <w:rPr>
          <w:rFonts w:ascii="Times New Roman" w:hAnsi="Times New Roman" w:cs="Times New Roman" w:hint="eastAsia"/>
          <w:kern w:val="0"/>
          <w:sz w:val="18"/>
          <w:szCs w:val="18"/>
          <w:lang w:val="zh-CN"/>
        </w:rPr>
        <w:t>直接归属于该资产的税金等其他成本计量其初始投资成本。放弃债权的公允价值与账面价值之间的差额，计入当期损益。</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采用修改其他条款方式进行债务重组的，本公司按照《企业会计准则第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号——金融工具确认和计量》的规定，确认和计量重组债权。</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采用多项资产清偿债务或者组合方式进行债务重组的，首先按照《企业会计准则第</w:t>
      </w:r>
      <w:r>
        <w:rPr>
          <w:rFonts w:ascii="Times New Roman" w:hAnsi="Times New Roman" w:cs="Times New Roman" w:hint="eastAsia"/>
          <w:kern w:val="0"/>
          <w:sz w:val="18"/>
          <w:szCs w:val="18"/>
          <w:lang w:val="zh-CN"/>
        </w:rPr>
        <w:t>22</w:t>
      </w:r>
      <w:r>
        <w:rPr>
          <w:rFonts w:ascii="Times New Roman" w:hAnsi="Times New Roman" w:cs="Times New Roman" w:hint="eastAsia"/>
          <w:kern w:val="0"/>
          <w:sz w:val="18"/>
          <w:szCs w:val="18"/>
          <w:lang w:val="zh-CN"/>
        </w:rPr>
        <w:t>号——金融工具确认和计量》的规定确认和计量受让的金融资产和重组债权，然后按照受让的金融资产以外的各项资产的公允价值比例，对放弃债权的公允价值</w:t>
      </w:r>
      <w:proofErr w:type="gramStart"/>
      <w:r>
        <w:rPr>
          <w:rFonts w:ascii="Times New Roman" w:hAnsi="Times New Roman" w:cs="Times New Roman" w:hint="eastAsia"/>
          <w:kern w:val="0"/>
          <w:sz w:val="18"/>
          <w:szCs w:val="18"/>
          <w:lang w:val="zh-CN"/>
        </w:rPr>
        <w:t>扣除受</w:t>
      </w:r>
      <w:proofErr w:type="gramEnd"/>
      <w:r>
        <w:rPr>
          <w:rFonts w:ascii="Times New Roman" w:hAnsi="Times New Roman" w:cs="Times New Roman" w:hint="eastAsia"/>
          <w:kern w:val="0"/>
          <w:sz w:val="18"/>
          <w:szCs w:val="18"/>
          <w:lang w:val="zh-CN"/>
        </w:rPr>
        <w:t>让金融资产和重组债权确认金额后的净额进行分配，并以此为基础按照前述方法分别确定各项资产的成本。放弃债权的公允价值与账面价值之间的差额，计入当期损益。</w:t>
      </w:r>
    </w:p>
    <w:p w:rsidR="00403CD6" w:rsidRDefault="00E91A59">
      <w:pPr>
        <w:pStyle w:val="30"/>
        <w:spacing w:line="280" w:lineRule="exact"/>
        <w:jc w:val="left"/>
        <w:rPr>
          <w:rFonts w:ascii="Times New Roman" w:eastAsiaTheme="minorEastAsia" w:hAnsi="Times New Roman" w:cs="Times New Roman"/>
          <w:sz w:val="21"/>
        </w:rPr>
      </w:pPr>
      <w:bookmarkStart w:id="49" w:name="_Toc989159"/>
      <w:r>
        <w:rPr>
          <w:rFonts w:ascii="Times New Roman" w:eastAsiaTheme="minorEastAsia" w:hAnsi="Times New Roman" w:cs="Times New Roman" w:hint="eastAsia"/>
          <w:sz w:val="21"/>
        </w:rPr>
        <w:t>39</w:t>
      </w:r>
      <w:r>
        <w:rPr>
          <w:rFonts w:ascii="Times New Roman" w:eastAsiaTheme="minorEastAsia" w:hAnsi="Times New Roman" w:cs="Times New Roman" w:hint="eastAsia"/>
          <w:sz w:val="21"/>
        </w:rPr>
        <w:t>、</w:t>
      </w:r>
      <w:bookmarkEnd w:id="49"/>
      <w:r>
        <w:rPr>
          <w:rFonts w:ascii="Times New Roman" w:eastAsiaTheme="minorEastAsia" w:hAnsi="Times New Roman" w:cs="Times New Roman" w:hint="eastAsia"/>
          <w:sz w:val="21"/>
        </w:rPr>
        <w:t>重大会计判断和估计</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根据历史经验和其它因素，包括对未来事项的合理预期，对所采用的重要会计估计和关键假设进行持续的评价。很可能导致下一会计年度资产和负债的账面价值出现重大调整风险的重要会计估计和关键假设列示如下：</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递延所得税资产</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很有可能有足够的应纳税利润来抵扣亏损的限度内，应就所有未利用的税务亏损确认递延所得税资产。这需要管理层运用大量的判断来估计未来应纳税利润发生的时间和金额，结合纳税筹划策略，以决定应确认的递延所得税资产的金额。</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lastRenderedPageBreak/>
        <w:t>金融资产的分类</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本公司在确定金融资产的分类时涉及的重大判断包括业务模式及合同现金流量特征的分析等。</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在金融资产组合的层次上确定管理金融资产的业务模式，考虑的因素包括评价和向关键管理人员报告金融资产业绩的方式、影响金融资产业绩的风险及其管理方式、以及相关业务管理人员获得报酬的方式等。</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在评估金融资产的合同现金流量是否与基本借贷安排相一致时，存在以下主要判断：本金是否可能因提前还款等原因导致在存续期内的时间分布或者金额发生变动；利息是否仅包括货币时间价值、信用风险、其他基本借贷风险以及与成本和利润的对价。例如，提前偿付的金额是否仅反映了尚未支付的本金及以</w:t>
      </w:r>
      <w:proofErr w:type="gramStart"/>
      <w:r>
        <w:rPr>
          <w:rFonts w:ascii="Times New Roman" w:hAnsi="Times New Roman" w:cs="Times New Roman" w:hint="eastAsia"/>
          <w:kern w:val="0"/>
          <w:sz w:val="18"/>
          <w:szCs w:val="18"/>
          <w:lang w:val="zh-CN"/>
        </w:rPr>
        <w:t>未偿付本</w:t>
      </w:r>
      <w:proofErr w:type="gramEnd"/>
      <w:r>
        <w:rPr>
          <w:rFonts w:ascii="Times New Roman" w:hAnsi="Times New Roman" w:cs="Times New Roman" w:hint="eastAsia"/>
          <w:kern w:val="0"/>
          <w:sz w:val="18"/>
          <w:szCs w:val="18"/>
          <w:lang w:val="zh-CN"/>
        </w:rPr>
        <w:t>金为基础的利息，以及因提前终止合同而支付的合理补偿。</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应收账款预期信用损失的计量</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通过应收账款违约风险敞口和预期信用损失率计算应收账款预期信用损失，并基于违约概率和违约损失率确定预期信用损失率。在确定预期信用损失率时，本公司使用内部历史信用损失经验等数据，并结合当前状况和前瞻性信息对历史数据进行调整。在考虑前瞻性信息时，本公司使用的指标包括经济下滑的风险、外部市场环境、技术环境和客户情况的变化等。本公司定期监控并复核与预期信用损失计算相关的假设。</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应收融资租赁款逾期信用损失的计量</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通过应收融资租赁款违约风险敞口和预期信用损失率计算应收融资租赁款预期信用损失，并基于违约概率和违约损失率确定预期信用损失率。在确定预期信用损失率时，本公司在考虑对方单位的当期状况和还款能力的同时，考虑与应收租赁</w:t>
      </w:r>
      <w:proofErr w:type="gramStart"/>
      <w:r>
        <w:rPr>
          <w:rFonts w:ascii="Times New Roman" w:hAnsi="Times New Roman" w:cs="Times New Roman" w:hint="eastAsia"/>
          <w:kern w:val="0"/>
          <w:sz w:val="18"/>
          <w:szCs w:val="18"/>
          <w:lang w:val="zh-CN"/>
        </w:rPr>
        <w:t>款相关</w:t>
      </w:r>
      <w:proofErr w:type="gramEnd"/>
      <w:r>
        <w:rPr>
          <w:rFonts w:ascii="Times New Roman" w:hAnsi="Times New Roman" w:cs="Times New Roman" w:hint="eastAsia"/>
          <w:kern w:val="0"/>
          <w:sz w:val="18"/>
          <w:szCs w:val="18"/>
          <w:lang w:val="zh-CN"/>
        </w:rPr>
        <w:t>的抵押物价值、</w:t>
      </w:r>
      <w:proofErr w:type="gramStart"/>
      <w:r>
        <w:rPr>
          <w:rFonts w:ascii="Times New Roman" w:hAnsi="Times New Roman" w:cs="Times New Roman" w:hint="eastAsia"/>
          <w:kern w:val="0"/>
          <w:sz w:val="18"/>
          <w:szCs w:val="18"/>
          <w:lang w:val="zh-CN"/>
        </w:rPr>
        <w:t>担保等增信</w:t>
      </w:r>
      <w:proofErr w:type="gramEnd"/>
      <w:r>
        <w:rPr>
          <w:rFonts w:ascii="Times New Roman" w:hAnsi="Times New Roman" w:cs="Times New Roman" w:hint="eastAsia"/>
          <w:kern w:val="0"/>
          <w:sz w:val="18"/>
          <w:szCs w:val="18"/>
          <w:lang w:val="zh-CN"/>
        </w:rPr>
        <w:t>措施。</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递延所得税资产</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在很有可能有足够的应纳税利润来抵扣亏损的限度内，应就所有未利用的税务亏损确认递延所得税资产。这需要管理层运用大量的判断来估计未来应纳税利润发生的时间和金额，结合纳税筹划策略，以决定应确认的递延所得税资产的金额。</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商誉减值</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本公司至少每年评估商誉是否发生减值。这要求对分配了商誉的资产组的使用价值进行估计。估计使用价值时，本公司需要估计未来来自资产组的现金流量，同时选择恰当的折现率计算未来现金流量的现值。</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存货减值</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于资产负债表日，本公司按存货的估计售价减去至完工时估计将要发生的成本、估计的销售费用以及相关税费后的金额确定可变现净值。在确定存货的可变现净值时，以取得的确凿证据为基础，同时考虑持有存货的目的以及资产负债表日后事项的影响。当其可变现净值低于成本时，计提存货跌价准备。</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固定资产和长期股权投资减值</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至少每年评估固定资产和长期股权投资是否发生减值。当发生任何事件或环境出现变化，显示账面价值可能无法收回时，就该等项目的账面价值是否发生减值予以审核。若某项资产的账面价值超过其可收回金额时，按其差额确认减值损失。可收回金额以资产的公允价值减处置费用后的净额与资产预计未来现金流量的现值两者之间较高者确定。在估计资产的可收回金额时，需</w:t>
      </w:r>
      <w:proofErr w:type="gramStart"/>
      <w:r>
        <w:rPr>
          <w:rFonts w:ascii="Times New Roman" w:hAnsi="Times New Roman" w:cs="Times New Roman" w:hint="eastAsia"/>
          <w:kern w:val="0"/>
          <w:sz w:val="18"/>
          <w:szCs w:val="18"/>
          <w:lang w:val="zh-CN"/>
        </w:rPr>
        <w:t>作出</w:t>
      </w:r>
      <w:proofErr w:type="gramEnd"/>
      <w:r>
        <w:rPr>
          <w:rFonts w:ascii="Times New Roman" w:hAnsi="Times New Roman" w:cs="Times New Roman" w:hint="eastAsia"/>
          <w:kern w:val="0"/>
          <w:sz w:val="18"/>
          <w:szCs w:val="18"/>
          <w:lang w:val="zh-CN"/>
        </w:rPr>
        <w:t>多项假设，包括与非流动资产有关的未来现金流量及折现率。倘若未来事项与该等假设不符，可收回金额将需要</w:t>
      </w:r>
      <w:proofErr w:type="gramStart"/>
      <w:r>
        <w:rPr>
          <w:rFonts w:ascii="Times New Roman" w:hAnsi="Times New Roman" w:cs="Times New Roman" w:hint="eastAsia"/>
          <w:kern w:val="0"/>
          <w:sz w:val="18"/>
          <w:szCs w:val="18"/>
          <w:lang w:val="zh-CN"/>
        </w:rPr>
        <w:t>作出</w:t>
      </w:r>
      <w:proofErr w:type="gramEnd"/>
      <w:r>
        <w:rPr>
          <w:rFonts w:ascii="Times New Roman" w:hAnsi="Times New Roman" w:cs="Times New Roman" w:hint="eastAsia"/>
          <w:kern w:val="0"/>
          <w:sz w:val="18"/>
          <w:szCs w:val="18"/>
          <w:lang w:val="zh-CN"/>
        </w:rPr>
        <w:t>修订，这些修订可能会对本公司的经营业绩或者财务状况产生影响。</w:t>
      </w:r>
    </w:p>
    <w:p w:rsidR="00403CD6" w:rsidRDefault="00E91A59">
      <w:pPr>
        <w:pStyle w:val="30"/>
        <w:spacing w:line="280" w:lineRule="exact"/>
        <w:jc w:val="left"/>
        <w:rPr>
          <w:rFonts w:ascii="Times New Roman" w:eastAsiaTheme="minorEastAsia" w:hAnsi="Times New Roman" w:cs="Times New Roman"/>
          <w:sz w:val="21"/>
        </w:rPr>
      </w:pPr>
      <w:bookmarkStart w:id="50" w:name="_Toc989160"/>
      <w:r>
        <w:rPr>
          <w:rFonts w:ascii="Times New Roman" w:eastAsiaTheme="minorEastAsia" w:hAnsi="Times New Roman" w:cs="Times New Roman" w:hint="eastAsia"/>
          <w:sz w:val="21"/>
        </w:rPr>
        <w:t>40</w:t>
      </w:r>
      <w:r>
        <w:rPr>
          <w:rFonts w:ascii="Times New Roman" w:eastAsiaTheme="minorEastAsia" w:hAnsi="Times New Roman" w:cs="Times New Roman" w:hint="eastAsia"/>
          <w:sz w:val="21"/>
        </w:rPr>
        <w:t>、重要会计政策和会计估计变更</w:t>
      </w:r>
      <w:bookmarkEnd w:id="50"/>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）重要会计政策变更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①企业会计准则解释第</w:t>
      </w:r>
      <w:r>
        <w:rPr>
          <w:rFonts w:ascii="Times New Roman" w:hAnsi="Times New Roman" w:cs="Times New Roman" w:hint="eastAsia"/>
          <w:kern w:val="0"/>
          <w:sz w:val="18"/>
          <w:szCs w:val="18"/>
          <w:lang w:val="zh-CN"/>
        </w:rPr>
        <w:t>17</w:t>
      </w:r>
      <w:r>
        <w:rPr>
          <w:rFonts w:ascii="Times New Roman" w:hAnsi="Times New Roman" w:cs="Times New Roman" w:hint="eastAsia"/>
          <w:kern w:val="0"/>
          <w:sz w:val="18"/>
          <w:szCs w:val="18"/>
          <w:lang w:val="zh-CN"/>
        </w:rPr>
        <w:t>号</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财政部于</w:t>
      </w:r>
      <w:r>
        <w:rPr>
          <w:rFonts w:ascii="Times New Roman" w:hAnsi="Times New Roman" w:cs="Times New Roman" w:hint="eastAsia"/>
          <w:kern w:val="0"/>
          <w:sz w:val="18"/>
          <w:szCs w:val="18"/>
          <w:lang w:val="zh-CN"/>
        </w:rPr>
        <w:t>2023</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11</w:t>
      </w:r>
      <w:r>
        <w:rPr>
          <w:rFonts w:ascii="Times New Roman" w:hAnsi="Times New Roman" w:cs="Times New Roman" w:hint="eastAsia"/>
          <w:kern w:val="0"/>
          <w:sz w:val="18"/>
          <w:szCs w:val="18"/>
          <w:lang w:val="zh-CN"/>
        </w:rPr>
        <w:t>月发布了《企业会计准则解释第</w:t>
      </w:r>
      <w:r>
        <w:rPr>
          <w:rFonts w:ascii="Times New Roman" w:hAnsi="Times New Roman" w:cs="Times New Roman" w:hint="eastAsia"/>
          <w:kern w:val="0"/>
          <w:sz w:val="18"/>
          <w:szCs w:val="18"/>
          <w:lang w:val="zh-CN"/>
        </w:rPr>
        <w:t>17</w:t>
      </w:r>
      <w:r>
        <w:rPr>
          <w:rFonts w:ascii="Times New Roman" w:hAnsi="Times New Roman" w:cs="Times New Roman" w:hint="eastAsia"/>
          <w:kern w:val="0"/>
          <w:sz w:val="18"/>
          <w:szCs w:val="18"/>
          <w:lang w:val="zh-CN"/>
        </w:rPr>
        <w:t>号》（财会〔</w:t>
      </w:r>
      <w:r>
        <w:rPr>
          <w:rFonts w:ascii="Times New Roman" w:hAnsi="Times New Roman" w:cs="Times New Roman" w:hint="eastAsia"/>
          <w:kern w:val="0"/>
          <w:sz w:val="18"/>
          <w:szCs w:val="18"/>
          <w:lang w:val="zh-CN"/>
        </w:rPr>
        <w:t>2023</w:t>
      </w: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21</w:t>
      </w:r>
      <w:r>
        <w:rPr>
          <w:rFonts w:ascii="Times New Roman" w:hAnsi="Times New Roman" w:cs="Times New Roman" w:hint="eastAsia"/>
          <w:kern w:val="0"/>
          <w:sz w:val="18"/>
          <w:szCs w:val="18"/>
          <w:lang w:val="zh-CN"/>
        </w:rPr>
        <w:t>号）（以下简称“解释第</w:t>
      </w:r>
      <w:r>
        <w:rPr>
          <w:rFonts w:ascii="Times New Roman" w:hAnsi="Times New Roman" w:cs="Times New Roman" w:hint="eastAsia"/>
          <w:kern w:val="0"/>
          <w:sz w:val="18"/>
          <w:szCs w:val="18"/>
          <w:lang w:val="zh-CN"/>
        </w:rPr>
        <w:t>17</w:t>
      </w:r>
      <w:r>
        <w:rPr>
          <w:rFonts w:ascii="Times New Roman" w:hAnsi="Times New Roman" w:cs="Times New Roman" w:hint="eastAsia"/>
          <w:kern w:val="0"/>
          <w:sz w:val="18"/>
          <w:szCs w:val="18"/>
          <w:lang w:val="zh-CN"/>
        </w:rPr>
        <w:t>号”）。</w:t>
      </w:r>
    </w:p>
    <w:p w:rsidR="00403CD6" w:rsidRDefault="00E91A59">
      <w:pPr>
        <w:autoSpaceDE w:val="0"/>
        <w:autoSpaceDN w:val="0"/>
        <w:adjustRightInd w:val="0"/>
        <w:ind w:firstLine="360"/>
        <w:rPr>
          <w:rFonts w:ascii="Times New Roman" w:hAnsi="Times New Roman" w:cs="Times New Roman"/>
          <w:kern w:val="0"/>
          <w:sz w:val="18"/>
          <w:szCs w:val="18"/>
          <w:lang w:val="zh-CN"/>
        </w:rPr>
      </w:pPr>
      <w:bookmarkStart w:id="51" w:name="OLE_LINK26"/>
      <w:bookmarkStart w:id="52" w:name="OLE_LINK27"/>
      <w:r>
        <w:rPr>
          <w:rFonts w:ascii="Times New Roman" w:hAnsi="Times New Roman" w:cs="Times New Roman" w:hint="eastAsia"/>
          <w:kern w:val="0"/>
          <w:sz w:val="18"/>
          <w:szCs w:val="18"/>
          <w:lang w:val="zh-CN"/>
        </w:rPr>
        <w:t>流动负债与非流动负债的划分</w:t>
      </w:r>
    </w:p>
    <w:bookmarkEnd w:id="51"/>
    <w:bookmarkEnd w:id="52"/>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解释第</w:t>
      </w:r>
      <w:r>
        <w:rPr>
          <w:rFonts w:ascii="Times New Roman" w:hAnsi="Times New Roman" w:cs="Times New Roman" w:hint="eastAsia"/>
          <w:kern w:val="0"/>
          <w:sz w:val="18"/>
          <w:szCs w:val="18"/>
          <w:lang w:val="zh-CN"/>
        </w:rPr>
        <w:t>17</w:t>
      </w:r>
      <w:r>
        <w:rPr>
          <w:rFonts w:ascii="Times New Roman" w:hAnsi="Times New Roman" w:cs="Times New Roman" w:hint="eastAsia"/>
          <w:kern w:val="0"/>
          <w:sz w:val="18"/>
          <w:szCs w:val="18"/>
          <w:lang w:val="zh-CN"/>
        </w:rPr>
        <w:t>号规定，对于企业贷款安排产生的负债，企业将负债清偿推迟至资产负债表日后一年以上的权利可能取决于企业是否遵循了贷款安排中规定的条件（以下简称“契约条件”）。企业在资产负债表日或者之前应遵循的契约条件，即使在资产负债表日之后才对该契约条件的遵循情况进行评估（如有的契约条件规定在资产负债表日之后基于资产负债表日财务状况进行评估），影响该权利在资产负债表日是否存在的判断，进而影响该负债在资产负债表日的流动性划分。企业在资产负债表日之后应遵循的契约条件（如有的契约条件规定基于资产负债表日之后</w:t>
      </w:r>
      <w:r>
        <w:rPr>
          <w:rFonts w:ascii="Times New Roman" w:hAnsi="Times New Roman" w:cs="Times New Roman" w:hint="eastAsia"/>
          <w:kern w:val="0"/>
          <w:sz w:val="18"/>
          <w:szCs w:val="18"/>
          <w:lang w:val="zh-CN"/>
        </w:rPr>
        <w:t>6</w:t>
      </w:r>
      <w:r>
        <w:rPr>
          <w:rFonts w:ascii="Times New Roman" w:hAnsi="Times New Roman" w:cs="Times New Roman" w:hint="eastAsia"/>
          <w:kern w:val="0"/>
          <w:sz w:val="18"/>
          <w:szCs w:val="18"/>
          <w:lang w:val="zh-CN"/>
        </w:rPr>
        <w:t>个月的财务状况进行评估），不影响</w:t>
      </w:r>
      <w:r>
        <w:rPr>
          <w:rFonts w:ascii="Times New Roman" w:hAnsi="Times New Roman" w:cs="Times New Roman" w:hint="eastAsia"/>
          <w:kern w:val="0"/>
          <w:sz w:val="18"/>
          <w:szCs w:val="18"/>
          <w:lang w:val="zh-CN"/>
        </w:rPr>
        <w:lastRenderedPageBreak/>
        <w:t>该权利在资产负债表日是否存在的判断，与该负债在资产负债表日的流动性划分无关。</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负债的条款导致企业在交易对手方选择的情况下通过交付自身权益工具进行清偿的，如果按照准则规定该选择权分类为权益工具并将其作为复合金融工具的权益组成部分单独确认，则该条款不影响该项负债的流动性划分。</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本公司自</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1</w:t>
      </w:r>
      <w:r>
        <w:rPr>
          <w:rFonts w:ascii="Times New Roman" w:hAnsi="Times New Roman" w:cs="Times New Roman" w:hint="eastAsia"/>
          <w:kern w:val="0"/>
          <w:sz w:val="18"/>
          <w:szCs w:val="18"/>
          <w:lang w:val="zh-CN"/>
        </w:rPr>
        <w:t>日起执行该规定，采用解释第</w:t>
      </w:r>
      <w:r>
        <w:rPr>
          <w:rFonts w:ascii="Times New Roman" w:hAnsi="Times New Roman" w:cs="Times New Roman" w:hint="eastAsia"/>
          <w:kern w:val="0"/>
          <w:sz w:val="18"/>
          <w:szCs w:val="18"/>
          <w:lang w:val="zh-CN"/>
        </w:rPr>
        <w:t>17</w:t>
      </w:r>
      <w:r>
        <w:rPr>
          <w:rFonts w:ascii="Times New Roman" w:hAnsi="Times New Roman" w:cs="Times New Roman" w:hint="eastAsia"/>
          <w:kern w:val="0"/>
          <w:sz w:val="18"/>
          <w:szCs w:val="18"/>
          <w:lang w:val="zh-CN"/>
        </w:rPr>
        <w:t>号未对本公司可比期间财务状况和经营成果产生重大影响。</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hint="eastAsia"/>
          <w:kern w:val="0"/>
          <w:sz w:val="18"/>
          <w:szCs w:val="18"/>
          <w:lang w:val="zh-CN"/>
        </w:rPr>
        <w:t>2</w:t>
      </w:r>
      <w:r>
        <w:rPr>
          <w:rFonts w:ascii="Times New Roman" w:hAnsi="Times New Roman" w:cs="Times New Roman" w:hint="eastAsia"/>
          <w:kern w:val="0"/>
          <w:sz w:val="18"/>
          <w:szCs w:val="18"/>
          <w:lang w:val="zh-CN"/>
        </w:rPr>
        <w:t>）重要会计估计变更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本年度本公司未发生重要会计估计变更。</w:t>
      </w:r>
    </w:p>
    <w:p w:rsidR="00403CD6" w:rsidRDefault="00E91A59">
      <w:pPr>
        <w:pStyle w:val="2"/>
        <w:spacing w:before="300" w:after="300" w:line="320" w:lineRule="exact"/>
        <w:rPr>
          <w:rFonts w:ascii="Times New Roman" w:hAnsi="Times New Roman" w:cs="Times New Roman"/>
          <w:b/>
          <w:bCs/>
          <w:sz w:val="24"/>
          <w:szCs w:val="24"/>
        </w:rPr>
      </w:pPr>
      <w:r>
        <w:rPr>
          <w:rFonts w:ascii="Times New Roman" w:hAnsi="Times New Roman" w:cs="Times New Roman"/>
          <w:b/>
          <w:bCs/>
          <w:sz w:val="24"/>
          <w:szCs w:val="24"/>
        </w:rPr>
        <w:t>六、税项</w:t>
      </w:r>
      <w:bookmarkEnd w:id="45"/>
    </w:p>
    <w:p w:rsidR="00403CD6" w:rsidRDefault="00E91A59">
      <w:pPr>
        <w:pStyle w:val="30"/>
        <w:spacing w:line="280" w:lineRule="exact"/>
        <w:jc w:val="left"/>
        <w:rPr>
          <w:rFonts w:ascii="Times New Roman" w:eastAsiaTheme="minorEastAsia" w:hAnsi="Times New Roman" w:cs="Times New Roman"/>
          <w:sz w:val="21"/>
        </w:rPr>
      </w:pPr>
      <w:bookmarkStart w:id="53" w:name="_Toc989129"/>
      <w:r>
        <w:rPr>
          <w:rFonts w:ascii="Times New Roman" w:eastAsiaTheme="minorEastAsia" w:hAnsi="Times New Roman" w:cs="Times New Roman"/>
          <w:sz w:val="21"/>
        </w:rPr>
        <w:t>1</w:t>
      </w:r>
      <w:r>
        <w:rPr>
          <w:rFonts w:ascii="Times New Roman" w:eastAsiaTheme="minorEastAsia" w:hAnsi="Times New Roman" w:cs="Times New Roman"/>
          <w:sz w:val="21"/>
        </w:rPr>
        <w:t>、主要税种及税率</w:t>
      </w:r>
      <w:bookmarkEnd w:id="53"/>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5245"/>
        <w:gridCol w:w="1132"/>
      </w:tblGrid>
      <w:tr w:rsidR="00403CD6">
        <w:trPr>
          <w:trHeight w:val="284"/>
        </w:trPr>
        <w:tc>
          <w:tcPr>
            <w:tcW w:w="16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税种</w:t>
            </w:r>
          </w:p>
        </w:tc>
        <w:tc>
          <w:tcPr>
            <w:tcW w:w="272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计税依据</w:t>
            </w:r>
          </w:p>
        </w:tc>
        <w:tc>
          <w:tcPr>
            <w:tcW w:w="58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税率</w:t>
            </w:r>
            <w:r>
              <w:rPr>
                <w:rFonts w:asciiTheme="minorEastAsia" w:hAnsiTheme="minorEastAsia" w:cs="Times New Roman"/>
                <w:sz w:val="18"/>
                <w:szCs w:val="18"/>
              </w:rPr>
              <w:t>(</w:t>
            </w:r>
            <w:r>
              <w:rPr>
                <w:rFonts w:ascii="Times New Roman" w:eastAsia="宋体" w:hAnsi="Times New Roman" w:cs="Times New Roman"/>
                <w:sz w:val="18"/>
                <w:szCs w:val="18"/>
              </w:rPr>
              <w:t>%</w:t>
            </w:r>
            <w:r>
              <w:rPr>
                <w:rFonts w:asciiTheme="minorEastAsia" w:hAnsiTheme="minorEastAsia" w:cs="Times New Roman"/>
                <w:sz w:val="18"/>
                <w:szCs w:val="18"/>
              </w:rPr>
              <w:t>)</w:t>
            </w:r>
          </w:p>
        </w:tc>
      </w:tr>
      <w:tr w:rsidR="00403CD6">
        <w:trPr>
          <w:trHeight w:val="284"/>
        </w:trPr>
        <w:tc>
          <w:tcPr>
            <w:tcW w:w="16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增值税</w:t>
            </w:r>
          </w:p>
        </w:tc>
        <w:tc>
          <w:tcPr>
            <w:tcW w:w="2721" w:type="pct"/>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应纳税增值额（应纳税额按应纳税销售额乘以适用税率扣除当期允许抵扣的进项税后的余额计算）</w:t>
            </w:r>
          </w:p>
        </w:tc>
        <w:tc>
          <w:tcPr>
            <w:tcW w:w="587" w:type="pct"/>
            <w:vAlign w:val="center"/>
          </w:tcPr>
          <w:p w:rsidR="00403CD6" w:rsidRDefault="00E91A59">
            <w:pPr>
              <w:spacing w:before="40" w:after="4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13/9/6</w:t>
            </w:r>
          </w:p>
        </w:tc>
      </w:tr>
      <w:tr w:rsidR="00403CD6">
        <w:trPr>
          <w:trHeight w:val="284"/>
        </w:trPr>
        <w:tc>
          <w:tcPr>
            <w:tcW w:w="16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房产税</w:t>
            </w:r>
          </w:p>
        </w:tc>
        <w:tc>
          <w:tcPr>
            <w:tcW w:w="2721" w:type="pct"/>
            <w:vAlign w:val="bottom"/>
          </w:tcPr>
          <w:p w:rsidR="00403CD6" w:rsidRDefault="00E91A59">
            <w:pPr>
              <w:spacing w:before="40" w:after="40" w:line="240" w:lineRule="exact"/>
              <w:rPr>
                <w:rFonts w:ascii="Times New Roman" w:eastAsia="宋体" w:hAnsi="Times New Roman" w:cs="Times New Roman"/>
                <w:sz w:val="18"/>
                <w:szCs w:val="18"/>
              </w:rPr>
            </w:pPr>
            <w:proofErr w:type="gramStart"/>
            <w:r>
              <w:rPr>
                <w:rFonts w:ascii="Times New Roman" w:eastAsia="宋体" w:hAnsi="Times New Roman" w:cs="Times New Roman"/>
                <w:sz w:val="18"/>
                <w:szCs w:val="18"/>
              </w:rPr>
              <w:t>从租和</w:t>
            </w:r>
            <w:proofErr w:type="gramEnd"/>
            <w:r>
              <w:rPr>
                <w:rFonts w:ascii="Times New Roman" w:eastAsia="宋体" w:hAnsi="Times New Roman" w:cs="Times New Roman"/>
                <w:sz w:val="18"/>
                <w:szCs w:val="18"/>
              </w:rPr>
              <w:t>从价</w:t>
            </w:r>
          </w:p>
        </w:tc>
        <w:tc>
          <w:tcPr>
            <w:tcW w:w="587" w:type="pct"/>
            <w:vAlign w:val="center"/>
          </w:tcPr>
          <w:p w:rsidR="00403CD6" w:rsidRDefault="00E91A59">
            <w:pPr>
              <w:spacing w:before="40" w:after="4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1.2/12</w:t>
            </w:r>
          </w:p>
        </w:tc>
      </w:tr>
      <w:tr w:rsidR="00403CD6">
        <w:trPr>
          <w:trHeight w:val="284"/>
        </w:trPr>
        <w:tc>
          <w:tcPr>
            <w:tcW w:w="16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城市维护建设税</w:t>
            </w:r>
          </w:p>
        </w:tc>
        <w:tc>
          <w:tcPr>
            <w:tcW w:w="2721" w:type="pct"/>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实际缴纳的流转税额</w:t>
            </w:r>
          </w:p>
        </w:tc>
        <w:tc>
          <w:tcPr>
            <w:tcW w:w="587" w:type="pct"/>
            <w:vAlign w:val="center"/>
          </w:tcPr>
          <w:p w:rsidR="00403CD6" w:rsidRDefault="00E91A59">
            <w:pPr>
              <w:spacing w:before="40" w:after="4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7</w:t>
            </w:r>
          </w:p>
        </w:tc>
      </w:tr>
      <w:tr w:rsidR="00403CD6">
        <w:trPr>
          <w:trHeight w:val="284"/>
        </w:trPr>
        <w:tc>
          <w:tcPr>
            <w:tcW w:w="16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企业所得税</w:t>
            </w:r>
          </w:p>
        </w:tc>
        <w:tc>
          <w:tcPr>
            <w:tcW w:w="2721" w:type="pct"/>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应纳税所得额</w:t>
            </w:r>
          </w:p>
        </w:tc>
        <w:tc>
          <w:tcPr>
            <w:tcW w:w="587" w:type="pct"/>
            <w:vAlign w:val="center"/>
          </w:tcPr>
          <w:p w:rsidR="00403CD6" w:rsidRDefault="00E91A59">
            <w:pPr>
              <w:spacing w:before="40" w:after="40"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25</w:t>
            </w:r>
          </w:p>
        </w:tc>
      </w:tr>
    </w:tbl>
    <w:p w:rsidR="00403CD6" w:rsidRDefault="00E91A59">
      <w:pPr>
        <w:spacing w:before="100" w:after="100" w:line="240" w:lineRule="exact"/>
        <w:rPr>
          <w:rFonts w:ascii="Times New Roman" w:hAnsi="Times New Roman" w:cs="Times New Roman"/>
          <w:sz w:val="18"/>
          <w:szCs w:val="18"/>
        </w:rPr>
      </w:pPr>
      <w:r>
        <w:rPr>
          <w:rFonts w:ascii="Times New Roman" w:hAnsi="Times New Roman" w:cs="Times New Roman"/>
          <w:sz w:val="18"/>
          <w:szCs w:val="18"/>
        </w:rPr>
        <w:t>存在不同企业所得税税率纳税主体的，披露情况说明</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290"/>
        <w:gridCol w:w="6403"/>
      </w:tblGrid>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纳税主体名称</w:t>
            </w:r>
          </w:p>
        </w:tc>
        <w:tc>
          <w:tcPr>
            <w:tcW w:w="3303"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所得税税率（</w:t>
            </w:r>
            <w:r>
              <w:rPr>
                <w:rFonts w:ascii="Times New Roman" w:hAnsi="Times New Roman" w:cs="Times New Roman"/>
                <w:sz w:val="18"/>
                <w:szCs w:val="18"/>
              </w:rPr>
              <w:t>%</w:t>
            </w:r>
            <w:r>
              <w:rPr>
                <w:rFonts w:ascii="Times New Roman" w:hAnsi="Times New Roman" w:cs="Times New Roman" w:hint="eastAsia"/>
                <w:sz w:val="18"/>
                <w:szCs w:val="18"/>
              </w:rPr>
              <w:t>）</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山东晨鸣纸业集团股份有限公司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寿光美伦纸业有限责任公司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吉林晨鸣纸业有限责任公司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江西晨鸣纸业有限责任公司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湛江晨鸣浆纸有限公司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黄冈晨鸣浆纸有限公司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15</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寿光市新源煤炭有限公司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20</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寿光晨鸣造纸机械有限公司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20</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proofErr w:type="gramStart"/>
            <w:r>
              <w:rPr>
                <w:rFonts w:ascii="宋体" w:eastAsia="宋体" w:hAnsi="宋体" w:cs="宋体" w:hint="eastAsia"/>
                <w:sz w:val="18"/>
                <w:szCs w:val="18"/>
              </w:rPr>
              <w:t>寿光维远物流</w:t>
            </w:r>
            <w:proofErr w:type="gramEnd"/>
            <w:r>
              <w:rPr>
                <w:rFonts w:ascii="宋体" w:eastAsia="宋体" w:hAnsi="宋体" w:cs="宋体" w:hint="eastAsia"/>
                <w:sz w:val="18"/>
                <w:szCs w:val="18"/>
              </w:rPr>
              <w:t>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20</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湛江晨鸣林业发展有限公司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免征所得税</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南昌晨鸣林业发展有限公司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免征所得税</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晨鸣林业有限公司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免征所得税</w:t>
            </w:r>
          </w:p>
        </w:tc>
      </w:tr>
      <w:tr w:rsidR="00403CD6">
        <w:trPr>
          <w:trHeight w:val="284"/>
        </w:trPr>
        <w:tc>
          <w:tcPr>
            <w:tcW w:w="1697" w:type="pct"/>
            <w:tcBorders>
              <w:top w:val="single" w:sz="4" w:space="0" w:color="auto"/>
              <w:left w:val="single" w:sz="4" w:space="0" w:color="auto"/>
              <w:bottom w:val="single" w:sz="4" w:space="0" w:color="auto"/>
              <w:right w:val="single" w:sz="4" w:space="0" w:color="auto"/>
            </w:tcBorders>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阳江晨鸣林业发展有限公司</w:t>
            </w:r>
          </w:p>
        </w:tc>
        <w:tc>
          <w:tcPr>
            <w:tcW w:w="330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免征所得税</w:t>
            </w:r>
          </w:p>
        </w:tc>
      </w:tr>
    </w:tbl>
    <w:p w:rsidR="00403CD6" w:rsidRDefault="00E91A59">
      <w:pPr>
        <w:pStyle w:val="30"/>
        <w:spacing w:line="280" w:lineRule="exact"/>
        <w:jc w:val="left"/>
        <w:rPr>
          <w:rFonts w:ascii="Times New Roman" w:eastAsiaTheme="minorEastAsia" w:hAnsi="Times New Roman" w:cs="Times New Roman"/>
          <w:sz w:val="21"/>
        </w:rPr>
      </w:pPr>
      <w:bookmarkStart w:id="54" w:name="_Toc989130"/>
      <w:r>
        <w:rPr>
          <w:rFonts w:ascii="Times New Roman" w:eastAsiaTheme="minorEastAsia" w:hAnsi="Times New Roman" w:cs="Times New Roman"/>
          <w:sz w:val="21"/>
        </w:rPr>
        <w:t>2</w:t>
      </w:r>
      <w:r>
        <w:rPr>
          <w:rFonts w:ascii="Times New Roman" w:eastAsiaTheme="minorEastAsia" w:hAnsi="Times New Roman" w:cs="Times New Roman"/>
          <w:sz w:val="21"/>
        </w:rPr>
        <w:t>、税收优惠</w:t>
      </w:r>
      <w:bookmarkEnd w:id="54"/>
    </w:p>
    <w:p w:rsidR="00403CD6" w:rsidRDefault="00E91A59">
      <w:pPr>
        <w:autoSpaceDE w:val="0"/>
        <w:autoSpaceDN w:val="0"/>
        <w:adjustRightInd w:val="0"/>
        <w:ind w:firstLine="360"/>
        <w:rPr>
          <w:rFonts w:ascii="Times New Roman" w:hAnsi="Times New Roman" w:cs="Times New Roman"/>
          <w:kern w:val="0"/>
          <w:sz w:val="18"/>
          <w:szCs w:val="18"/>
          <w:lang w:val="zh-CN"/>
        </w:rPr>
      </w:pPr>
      <w:bookmarkStart w:id="55" w:name="_Toc989132"/>
      <w:r>
        <w:rPr>
          <w:rFonts w:ascii="Times New Roman" w:hAnsi="Times New Roman" w:cs="Times New Roman" w:hint="eastAsia"/>
          <w:kern w:val="0"/>
          <w:sz w:val="18"/>
          <w:szCs w:val="18"/>
          <w:lang w:val="zh-CN"/>
        </w:rPr>
        <w:t>（</w:t>
      </w:r>
      <w:r>
        <w:rPr>
          <w:rFonts w:ascii="Times New Roman" w:hAnsi="Times New Roman" w:cs="Times New Roman"/>
          <w:kern w:val="0"/>
          <w:sz w:val="18"/>
          <w:szCs w:val="18"/>
          <w:lang w:val="zh-CN"/>
        </w:rPr>
        <w:t>1</w:t>
      </w:r>
      <w:r>
        <w:rPr>
          <w:rFonts w:ascii="Times New Roman" w:hAnsi="Times New Roman" w:cs="Times New Roman" w:hint="eastAsia"/>
          <w:kern w:val="0"/>
          <w:sz w:val="18"/>
          <w:szCs w:val="18"/>
          <w:lang w:val="zh-CN"/>
        </w:rPr>
        <w:t>）企业所得税</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本公司于</w:t>
      </w:r>
      <w:r>
        <w:rPr>
          <w:rFonts w:ascii="Times New Roman" w:hAnsi="Times New Roman" w:cs="Times New Roman" w:hint="eastAsia"/>
          <w:kern w:val="0"/>
          <w:sz w:val="18"/>
          <w:szCs w:val="18"/>
          <w:lang w:val="zh-CN"/>
        </w:rPr>
        <w:t xml:space="preserve">2024 </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 xml:space="preserve"> 12 </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 xml:space="preserve"> 7 </w:t>
      </w:r>
      <w:proofErr w:type="gramStart"/>
      <w:r>
        <w:rPr>
          <w:rFonts w:ascii="Times New Roman" w:hAnsi="Times New Roman" w:cs="Times New Roman" w:hint="eastAsia"/>
          <w:kern w:val="0"/>
          <w:sz w:val="18"/>
          <w:szCs w:val="18"/>
          <w:lang w:val="zh-CN"/>
        </w:rPr>
        <w:t>日取得</w:t>
      </w:r>
      <w:proofErr w:type="gramEnd"/>
      <w:r>
        <w:rPr>
          <w:rFonts w:ascii="Times New Roman" w:hAnsi="Times New Roman" w:cs="Times New Roman" w:hint="eastAsia"/>
          <w:kern w:val="0"/>
          <w:sz w:val="18"/>
          <w:szCs w:val="18"/>
          <w:lang w:val="zh-CN"/>
        </w:rPr>
        <w:t>编号为</w:t>
      </w:r>
      <w:r>
        <w:rPr>
          <w:rFonts w:ascii="Times New Roman" w:hAnsi="Times New Roman" w:cs="Times New Roman" w:hint="eastAsia"/>
          <w:kern w:val="0"/>
          <w:sz w:val="18"/>
          <w:szCs w:val="18"/>
          <w:lang w:val="zh-CN"/>
        </w:rPr>
        <w:t>GR202437001530</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计缴企业所得税，优惠期限为</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2026</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本公司下属子公司寿光美伦纸业有限责任公司，于</w:t>
      </w:r>
      <w:r>
        <w:rPr>
          <w:rFonts w:ascii="Times New Roman" w:hAnsi="Times New Roman" w:cs="Times New Roman" w:hint="eastAsia"/>
          <w:kern w:val="0"/>
          <w:sz w:val="18"/>
          <w:szCs w:val="18"/>
          <w:lang w:val="zh-CN"/>
        </w:rPr>
        <w:t xml:space="preserve">2024 </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 xml:space="preserve"> 12 </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 xml:space="preserve"> 7 </w:t>
      </w:r>
      <w:proofErr w:type="gramStart"/>
      <w:r>
        <w:rPr>
          <w:rFonts w:ascii="Times New Roman" w:hAnsi="Times New Roman" w:cs="Times New Roman" w:hint="eastAsia"/>
          <w:kern w:val="0"/>
          <w:sz w:val="18"/>
          <w:szCs w:val="18"/>
          <w:lang w:val="zh-CN"/>
        </w:rPr>
        <w:t>日取得</w:t>
      </w:r>
      <w:proofErr w:type="gramEnd"/>
      <w:r>
        <w:rPr>
          <w:rFonts w:ascii="Times New Roman" w:hAnsi="Times New Roman" w:cs="Times New Roman" w:hint="eastAsia"/>
          <w:kern w:val="0"/>
          <w:sz w:val="18"/>
          <w:szCs w:val="18"/>
          <w:lang w:val="zh-CN"/>
        </w:rPr>
        <w:t>编号为</w:t>
      </w:r>
      <w:r>
        <w:rPr>
          <w:rFonts w:ascii="Times New Roman" w:hAnsi="Times New Roman" w:cs="Times New Roman" w:hint="eastAsia"/>
          <w:kern w:val="0"/>
          <w:sz w:val="18"/>
          <w:szCs w:val="18"/>
          <w:lang w:val="zh-CN"/>
        </w:rPr>
        <w:t>GR202437000114</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计缴企业所得税，优惠期限为</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2026</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本公司下属子公司吉林晨鸣纸业有限责任公司，于</w:t>
      </w:r>
      <w:r>
        <w:rPr>
          <w:rFonts w:ascii="Times New Roman" w:hAnsi="Times New Roman" w:cs="Times New Roman" w:hint="eastAsia"/>
          <w:kern w:val="0"/>
          <w:sz w:val="18"/>
          <w:szCs w:val="18"/>
          <w:lang w:val="zh-CN"/>
        </w:rPr>
        <w:t>2022</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11</w:t>
      </w:r>
      <w:r>
        <w:rPr>
          <w:rFonts w:ascii="Times New Roman" w:hAnsi="Times New Roman" w:cs="Times New Roman" w:hint="eastAsia"/>
          <w:kern w:val="0"/>
          <w:sz w:val="18"/>
          <w:szCs w:val="18"/>
          <w:lang w:val="zh-CN"/>
        </w:rPr>
        <w:t>月</w:t>
      </w:r>
      <w:r>
        <w:rPr>
          <w:rFonts w:ascii="Times New Roman" w:hAnsi="Times New Roman" w:cs="Times New Roman"/>
          <w:kern w:val="0"/>
          <w:sz w:val="18"/>
          <w:szCs w:val="18"/>
          <w:lang w:val="zh-CN"/>
        </w:rPr>
        <w:t>29</w:t>
      </w:r>
      <w:r>
        <w:rPr>
          <w:rFonts w:ascii="Times New Roman" w:hAnsi="Times New Roman" w:cs="Times New Roman" w:hint="eastAsia"/>
          <w:kern w:val="0"/>
          <w:sz w:val="18"/>
          <w:szCs w:val="18"/>
          <w:lang w:val="zh-CN"/>
        </w:rPr>
        <w:t>日取得编号为</w:t>
      </w:r>
      <w:r>
        <w:rPr>
          <w:rFonts w:ascii="Times New Roman" w:hAnsi="Times New Roman" w:cs="Times New Roman" w:hint="eastAsia"/>
          <w:kern w:val="0"/>
          <w:sz w:val="18"/>
          <w:szCs w:val="18"/>
          <w:lang w:val="zh-CN"/>
        </w:rPr>
        <w:t>GR202222000414</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w:t>
      </w:r>
      <w:r>
        <w:rPr>
          <w:rFonts w:ascii="Times New Roman" w:hAnsi="Times New Roman" w:cs="Times New Roman" w:hint="eastAsia"/>
          <w:kern w:val="0"/>
          <w:sz w:val="18"/>
          <w:szCs w:val="18"/>
          <w:lang w:val="zh-CN"/>
        </w:rPr>
        <w:lastRenderedPageBreak/>
        <w:t>为</w:t>
      </w:r>
      <w:r>
        <w:rPr>
          <w:rFonts w:ascii="Times New Roman" w:hAnsi="Times New Roman" w:cs="Times New Roman" w:hint="eastAsia"/>
          <w:kern w:val="0"/>
          <w:sz w:val="18"/>
          <w:szCs w:val="18"/>
          <w:lang w:val="zh-CN"/>
        </w:rPr>
        <w:t>2022</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本公司下属子公司江西晨鸣纸业有限责任公司，于</w:t>
      </w:r>
      <w:r>
        <w:rPr>
          <w:rFonts w:ascii="Times New Roman" w:hAnsi="Times New Roman" w:cs="Times New Roman" w:hint="eastAsia"/>
          <w:kern w:val="0"/>
          <w:sz w:val="18"/>
          <w:szCs w:val="18"/>
          <w:lang w:val="zh-CN"/>
        </w:rPr>
        <w:t>2022</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11</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04</w:t>
      </w:r>
      <w:r>
        <w:rPr>
          <w:rFonts w:ascii="Times New Roman" w:hAnsi="Times New Roman" w:cs="Times New Roman" w:hint="eastAsia"/>
          <w:kern w:val="0"/>
          <w:sz w:val="18"/>
          <w:szCs w:val="18"/>
          <w:lang w:val="zh-CN"/>
        </w:rPr>
        <w:t>日取得编号为</w:t>
      </w:r>
      <w:r>
        <w:rPr>
          <w:rFonts w:ascii="Times New Roman" w:hAnsi="Times New Roman" w:cs="Times New Roman" w:hint="eastAsia"/>
          <w:kern w:val="0"/>
          <w:sz w:val="18"/>
          <w:szCs w:val="18"/>
          <w:lang w:val="zh-CN"/>
        </w:rPr>
        <w:t>GR202236000018</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计缴企业所得税，优惠期限为</w:t>
      </w:r>
      <w:r>
        <w:rPr>
          <w:rFonts w:ascii="Times New Roman" w:hAnsi="Times New Roman" w:cs="Times New Roman" w:hint="eastAsia"/>
          <w:kern w:val="0"/>
          <w:sz w:val="18"/>
          <w:szCs w:val="18"/>
          <w:lang w:val="zh-CN"/>
        </w:rPr>
        <w:t>2022</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本公司下属子公司湛江晨鸣浆纸有限公司，于</w:t>
      </w:r>
      <w:r>
        <w:rPr>
          <w:rFonts w:ascii="Times New Roman" w:hAnsi="Times New Roman" w:cs="Times New Roman" w:hint="eastAsia"/>
          <w:kern w:val="0"/>
          <w:sz w:val="18"/>
          <w:szCs w:val="18"/>
          <w:lang w:val="zh-CN"/>
        </w:rPr>
        <w:t xml:space="preserve">2024 </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 xml:space="preserve"> 11 </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 xml:space="preserve"> 19 </w:t>
      </w:r>
      <w:proofErr w:type="gramStart"/>
      <w:r>
        <w:rPr>
          <w:rFonts w:ascii="Times New Roman" w:hAnsi="Times New Roman" w:cs="Times New Roman" w:hint="eastAsia"/>
          <w:kern w:val="0"/>
          <w:sz w:val="18"/>
          <w:szCs w:val="18"/>
          <w:lang w:val="zh-CN"/>
        </w:rPr>
        <w:t>日取得</w:t>
      </w:r>
      <w:proofErr w:type="gramEnd"/>
      <w:r>
        <w:rPr>
          <w:rFonts w:ascii="Times New Roman" w:hAnsi="Times New Roman" w:cs="Times New Roman" w:hint="eastAsia"/>
          <w:kern w:val="0"/>
          <w:sz w:val="18"/>
          <w:szCs w:val="18"/>
          <w:lang w:val="zh-CN"/>
        </w:rPr>
        <w:t>编号为</w:t>
      </w:r>
      <w:r>
        <w:rPr>
          <w:rFonts w:ascii="Times New Roman" w:hAnsi="Times New Roman" w:cs="Times New Roman" w:hint="eastAsia"/>
          <w:kern w:val="0"/>
          <w:sz w:val="18"/>
          <w:szCs w:val="18"/>
          <w:lang w:val="zh-CN"/>
        </w:rPr>
        <w:t>GR202444002840</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计缴企业所得税，优惠期限为</w:t>
      </w:r>
      <w:r>
        <w:rPr>
          <w:rFonts w:ascii="Times New Roman" w:hAnsi="Times New Roman" w:cs="Times New Roman" w:hint="eastAsia"/>
          <w:kern w:val="0"/>
          <w:sz w:val="18"/>
          <w:szCs w:val="18"/>
          <w:lang w:val="zh-CN"/>
        </w:rPr>
        <w:t>2024</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2026</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本公司下属子公司黄冈晨鸣浆纸有限公司，于</w:t>
      </w:r>
      <w:r>
        <w:rPr>
          <w:rFonts w:ascii="Times New Roman" w:hAnsi="Times New Roman" w:cs="Times New Roman" w:hint="eastAsia"/>
          <w:kern w:val="0"/>
          <w:sz w:val="18"/>
          <w:szCs w:val="18"/>
          <w:lang w:val="zh-CN"/>
        </w:rPr>
        <w:t>202</w:t>
      </w:r>
      <w:r>
        <w:rPr>
          <w:rFonts w:ascii="Times New Roman" w:hAnsi="Times New Roman" w:cs="Times New Roman"/>
          <w:kern w:val="0"/>
          <w:sz w:val="18"/>
          <w:szCs w:val="18"/>
          <w:lang w:val="zh-CN"/>
        </w:rPr>
        <w:t>3</w:t>
      </w:r>
      <w:r>
        <w:rPr>
          <w:rFonts w:ascii="Times New Roman" w:hAnsi="Times New Roman" w:cs="Times New Roman" w:hint="eastAsia"/>
          <w:kern w:val="0"/>
          <w:sz w:val="18"/>
          <w:szCs w:val="18"/>
          <w:lang w:val="zh-CN"/>
        </w:rPr>
        <w:t>年</w:t>
      </w:r>
      <w:r>
        <w:rPr>
          <w:rFonts w:ascii="Times New Roman" w:hAnsi="Times New Roman" w:cs="Times New Roman" w:hint="eastAsia"/>
          <w:kern w:val="0"/>
          <w:sz w:val="18"/>
          <w:szCs w:val="18"/>
          <w:lang w:val="zh-CN"/>
        </w:rPr>
        <w:t>12</w:t>
      </w:r>
      <w:r>
        <w:rPr>
          <w:rFonts w:ascii="Times New Roman" w:hAnsi="Times New Roman" w:cs="Times New Roman" w:hint="eastAsia"/>
          <w:kern w:val="0"/>
          <w:sz w:val="18"/>
          <w:szCs w:val="18"/>
          <w:lang w:val="zh-CN"/>
        </w:rPr>
        <w:t>月</w:t>
      </w:r>
      <w:r>
        <w:rPr>
          <w:rFonts w:ascii="Times New Roman" w:hAnsi="Times New Roman" w:cs="Times New Roman" w:hint="eastAsia"/>
          <w:kern w:val="0"/>
          <w:sz w:val="18"/>
          <w:szCs w:val="18"/>
          <w:lang w:val="zh-CN"/>
        </w:rPr>
        <w:t>0</w:t>
      </w:r>
      <w:r>
        <w:rPr>
          <w:rFonts w:ascii="Times New Roman" w:hAnsi="Times New Roman" w:cs="Times New Roman"/>
          <w:kern w:val="0"/>
          <w:sz w:val="18"/>
          <w:szCs w:val="18"/>
          <w:lang w:val="zh-CN"/>
        </w:rPr>
        <w:t>5</w:t>
      </w:r>
      <w:r>
        <w:rPr>
          <w:rFonts w:ascii="Times New Roman" w:hAnsi="Times New Roman" w:cs="Times New Roman" w:hint="eastAsia"/>
          <w:kern w:val="0"/>
          <w:sz w:val="18"/>
          <w:szCs w:val="18"/>
          <w:lang w:val="zh-CN"/>
        </w:rPr>
        <w:t>日取得编号为</w:t>
      </w:r>
      <w:r>
        <w:rPr>
          <w:rFonts w:ascii="Times New Roman" w:hAnsi="Times New Roman" w:cs="Times New Roman"/>
          <w:kern w:val="0"/>
          <w:sz w:val="18"/>
          <w:szCs w:val="18"/>
          <w:lang w:val="zh-CN"/>
        </w:rPr>
        <w:t>GR202342003128</w:t>
      </w:r>
      <w:r>
        <w:rPr>
          <w:rFonts w:ascii="Times New Roman" w:hAnsi="Times New Roman" w:cs="Times New Roman" w:hint="eastAsia"/>
          <w:kern w:val="0"/>
          <w:sz w:val="18"/>
          <w:szCs w:val="18"/>
          <w:lang w:val="zh-CN"/>
        </w:rPr>
        <w:t>的《高新技术企业证书》，根据《中华人民共和国企业所得税法》及相关政策的规定，享受按应纳税所得额的</w:t>
      </w:r>
      <w:r>
        <w:rPr>
          <w:rFonts w:ascii="Times New Roman" w:hAnsi="Times New Roman" w:cs="Times New Roman" w:hint="eastAsia"/>
          <w:kern w:val="0"/>
          <w:sz w:val="18"/>
          <w:szCs w:val="18"/>
          <w:lang w:val="zh-CN"/>
        </w:rPr>
        <w:t>15%</w:t>
      </w:r>
      <w:r>
        <w:rPr>
          <w:rFonts w:ascii="Times New Roman" w:hAnsi="Times New Roman" w:cs="Times New Roman" w:hint="eastAsia"/>
          <w:kern w:val="0"/>
          <w:sz w:val="18"/>
          <w:szCs w:val="18"/>
          <w:lang w:val="zh-CN"/>
        </w:rPr>
        <w:t>计缴企业所得税，优惠期限为</w:t>
      </w:r>
      <w:r>
        <w:rPr>
          <w:rFonts w:ascii="Times New Roman" w:hAnsi="Times New Roman" w:cs="Times New Roman" w:hint="eastAsia"/>
          <w:kern w:val="0"/>
          <w:sz w:val="18"/>
          <w:szCs w:val="18"/>
          <w:lang w:val="zh-CN"/>
        </w:rPr>
        <w:t>202</w:t>
      </w:r>
      <w:r>
        <w:rPr>
          <w:rFonts w:ascii="Times New Roman" w:hAnsi="Times New Roman" w:cs="Times New Roman"/>
          <w:kern w:val="0"/>
          <w:sz w:val="18"/>
          <w:szCs w:val="18"/>
          <w:lang w:val="zh-CN"/>
        </w:rPr>
        <w:t>3</w:t>
      </w:r>
      <w:r>
        <w:rPr>
          <w:rFonts w:ascii="Times New Roman" w:hAnsi="Times New Roman" w:cs="Times New Roman" w:hint="eastAsia"/>
          <w:kern w:val="0"/>
          <w:sz w:val="18"/>
          <w:szCs w:val="18"/>
          <w:lang w:val="zh-CN"/>
        </w:rPr>
        <w:t>年至</w:t>
      </w:r>
      <w:r>
        <w:rPr>
          <w:rFonts w:ascii="Times New Roman" w:hAnsi="Times New Roman" w:cs="Times New Roman" w:hint="eastAsia"/>
          <w:kern w:val="0"/>
          <w:sz w:val="18"/>
          <w:szCs w:val="18"/>
          <w:lang w:val="zh-CN"/>
        </w:rPr>
        <w:t>202</w:t>
      </w:r>
      <w:r>
        <w:rPr>
          <w:rFonts w:ascii="Times New Roman" w:hAnsi="Times New Roman" w:cs="Times New Roman"/>
          <w:kern w:val="0"/>
          <w:sz w:val="18"/>
          <w:szCs w:val="18"/>
          <w:lang w:val="zh-CN"/>
        </w:rPr>
        <w:t>5</w:t>
      </w:r>
      <w:r>
        <w:rPr>
          <w:rFonts w:ascii="Times New Roman" w:hAnsi="Times New Roman" w:cs="Times New Roman" w:hint="eastAsia"/>
          <w:kern w:val="0"/>
          <w:sz w:val="18"/>
          <w:szCs w:val="18"/>
          <w:lang w:val="zh-CN"/>
        </w:rPr>
        <w:t>年。</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本公司下属子公司湛江晨鸣林业发展有限公司、阳江晨鸣林业发展有限公司、南昌晨鸣林业发展有限公司和</w:t>
      </w:r>
      <w:proofErr w:type="gramStart"/>
      <w:r>
        <w:rPr>
          <w:rFonts w:ascii="Times New Roman" w:hAnsi="Times New Roman" w:cs="Times New Roman" w:hint="eastAsia"/>
          <w:kern w:val="0"/>
          <w:sz w:val="18"/>
          <w:szCs w:val="18"/>
          <w:lang w:val="zh-CN"/>
        </w:rPr>
        <w:t>晨鸣</w:t>
      </w:r>
      <w:proofErr w:type="gramEnd"/>
      <w:r>
        <w:rPr>
          <w:rFonts w:ascii="Times New Roman" w:hAnsi="Times New Roman" w:cs="Times New Roman" w:hint="eastAsia"/>
          <w:kern w:val="0"/>
          <w:sz w:val="18"/>
          <w:szCs w:val="18"/>
          <w:lang w:val="zh-CN"/>
        </w:rPr>
        <w:t>林业有限公司依据《中华人民共和国企业所得税法》第二十七条第一项和《中华人民共和国企业所得税法实施条例》第八十六条第一款享受税收优惠，已办理《企业所得税减免优惠备案表》免征企业所得税。</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本公司下属子公司寿光市新源煤炭有限公司、寿光晨鸣造纸机械有限公司和</w:t>
      </w:r>
      <w:proofErr w:type="gramStart"/>
      <w:r>
        <w:rPr>
          <w:rFonts w:ascii="Times New Roman" w:hAnsi="Times New Roman" w:cs="Times New Roman" w:hint="eastAsia"/>
          <w:kern w:val="0"/>
          <w:sz w:val="18"/>
          <w:szCs w:val="18"/>
          <w:lang w:val="zh-CN"/>
        </w:rPr>
        <w:t>寿光维远物流</w:t>
      </w:r>
      <w:proofErr w:type="gramEnd"/>
      <w:r>
        <w:rPr>
          <w:rFonts w:ascii="Times New Roman" w:hAnsi="Times New Roman" w:cs="Times New Roman" w:hint="eastAsia"/>
          <w:kern w:val="0"/>
          <w:sz w:val="18"/>
          <w:szCs w:val="18"/>
          <w:lang w:val="zh-CN"/>
        </w:rPr>
        <w:t>有限公司属于小微企业，根据《财政部</w:t>
      </w:r>
      <w:r>
        <w:rPr>
          <w:rFonts w:ascii="Times New Roman" w:hAnsi="Times New Roman" w:cs="Times New Roman" w:hint="eastAsia"/>
          <w:kern w:val="0"/>
          <w:sz w:val="18"/>
          <w:szCs w:val="18"/>
          <w:lang w:val="zh-CN"/>
        </w:rPr>
        <w:t xml:space="preserve"> </w:t>
      </w:r>
      <w:r>
        <w:rPr>
          <w:rFonts w:ascii="Times New Roman" w:hAnsi="Times New Roman" w:cs="Times New Roman" w:hint="eastAsia"/>
          <w:kern w:val="0"/>
          <w:sz w:val="18"/>
          <w:szCs w:val="18"/>
          <w:lang w:val="zh-CN"/>
        </w:rPr>
        <w:t>税务总局关于进一步实施小微企业所得税优惠政策的公告》（财税</w:t>
      </w:r>
      <w:r>
        <w:rPr>
          <w:rFonts w:ascii="Times New Roman" w:hAnsi="Times New Roman" w:cs="Times New Roman" w:hint="eastAsia"/>
          <w:kern w:val="0"/>
          <w:sz w:val="18"/>
          <w:szCs w:val="18"/>
          <w:lang w:val="zh-CN"/>
        </w:rPr>
        <w:t>[2022]13</w:t>
      </w:r>
      <w:r>
        <w:rPr>
          <w:rFonts w:ascii="Times New Roman" w:hAnsi="Times New Roman" w:cs="Times New Roman" w:hint="eastAsia"/>
          <w:kern w:val="0"/>
          <w:sz w:val="18"/>
          <w:szCs w:val="18"/>
          <w:lang w:val="zh-CN"/>
        </w:rPr>
        <w:t>号）、《财政部</w:t>
      </w:r>
      <w:r>
        <w:rPr>
          <w:rFonts w:ascii="Times New Roman" w:hAnsi="Times New Roman" w:cs="Times New Roman" w:hint="eastAsia"/>
          <w:kern w:val="0"/>
          <w:sz w:val="18"/>
          <w:szCs w:val="18"/>
          <w:lang w:val="zh-CN"/>
        </w:rPr>
        <w:t xml:space="preserve"> </w:t>
      </w:r>
      <w:r>
        <w:rPr>
          <w:rFonts w:ascii="Times New Roman" w:hAnsi="Times New Roman" w:cs="Times New Roman" w:hint="eastAsia"/>
          <w:kern w:val="0"/>
          <w:sz w:val="18"/>
          <w:szCs w:val="18"/>
          <w:lang w:val="zh-CN"/>
        </w:rPr>
        <w:t>税务总局关于小微企业和个体工商户所得税优惠政策的公告》（财政部</w:t>
      </w:r>
      <w:r>
        <w:rPr>
          <w:rFonts w:ascii="Times New Roman" w:hAnsi="Times New Roman" w:cs="Times New Roman" w:hint="eastAsia"/>
          <w:kern w:val="0"/>
          <w:sz w:val="18"/>
          <w:szCs w:val="18"/>
          <w:lang w:val="zh-CN"/>
        </w:rPr>
        <w:t xml:space="preserve"> </w:t>
      </w:r>
      <w:r>
        <w:rPr>
          <w:rFonts w:ascii="Times New Roman" w:hAnsi="Times New Roman" w:cs="Times New Roman" w:hint="eastAsia"/>
          <w:kern w:val="0"/>
          <w:sz w:val="18"/>
          <w:szCs w:val="18"/>
          <w:lang w:val="zh-CN"/>
        </w:rPr>
        <w:t>税务总局公告</w:t>
      </w:r>
      <w:r>
        <w:rPr>
          <w:rFonts w:ascii="Times New Roman" w:hAnsi="Times New Roman" w:cs="Times New Roman" w:hint="eastAsia"/>
          <w:kern w:val="0"/>
          <w:sz w:val="18"/>
          <w:szCs w:val="18"/>
          <w:lang w:val="zh-CN"/>
        </w:rPr>
        <w:t>2023</w:t>
      </w:r>
      <w:r>
        <w:rPr>
          <w:rFonts w:ascii="Times New Roman" w:hAnsi="Times New Roman" w:cs="Times New Roman" w:hint="eastAsia"/>
          <w:kern w:val="0"/>
          <w:sz w:val="18"/>
          <w:szCs w:val="18"/>
          <w:lang w:val="zh-CN"/>
        </w:rPr>
        <w:t>年第</w:t>
      </w:r>
      <w:r>
        <w:rPr>
          <w:rFonts w:ascii="Times New Roman" w:hAnsi="Times New Roman" w:cs="Times New Roman" w:hint="eastAsia"/>
          <w:kern w:val="0"/>
          <w:sz w:val="18"/>
          <w:szCs w:val="18"/>
          <w:lang w:val="zh-CN"/>
        </w:rPr>
        <w:t>6</w:t>
      </w:r>
      <w:r>
        <w:rPr>
          <w:rFonts w:ascii="Times New Roman" w:hAnsi="Times New Roman" w:cs="Times New Roman" w:hint="eastAsia"/>
          <w:kern w:val="0"/>
          <w:sz w:val="18"/>
          <w:szCs w:val="18"/>
          <w:lang w:val="zh-CN"/>
        </w:rPr>
        <w:t>号），对小型微利企业年应纳税所得额不超过</w:t>
      </w:r>
      <w:r>
        <w:rPr>
          <w:rFonts w:ascii="Times New Roman" w:hAnsi="Times New Roman" w:cs="Times New Roman" w:hint="eastAsia"/>
          <w:kern w:val="0"/>
          <w:sz w:val="18"/>
          <w:szCs w:val="18"/>
          <w:lang w:val="zh-CN"/>
        </w:rPr>
        <w:t>300</w:t>
      </w:r>
      <w:r>
        <w:rPr>
          <w:rFonts w:ascii="Times New Roman" w:hAnsi="Times New Roman" w:cs="Times New Roman" w:hint="eastAsia"/>
          <w:kern w:val="0"/>
          <w:sz w:val="18"/>
          <w:szCs w:val="18"/>
          <w:lang w:val="zh-CN"/>
        </w:rPr>
        <w:t>万元的部分，减按</w:t>
      </w:r>
      <w:r>
        <w:rPr>
          <w:rFonts w:ascii="Times New Roman" w:hAnsi="Times New Roman" w:cs="Times New Roman" w:hint="eastAsia"/>
          <w:kern w:val="0"/>
          <w:sz w:val="18"/>
          <w:szCs w:val="18"/>
          <w:lang w:val="zh-CN"/>
        </w:rPr>
        <w:t>25%</w:t>
      </w:r>
      <w:r>
        <w:rPr>
          <w:rFonts w:ascii="Times New Roman" w:hAnsi="Times New Roman" w:cs="Times New Roman" w:hint="eastAsia"/>
          <w:kern w:val="0"/>
          <w:sz w:val="18"/>
          <w:szCs w:val="18"/>
          <w:lang w:val="zh-CN"/>
        </w:rPr>
        <w:t>计入应纳税所得额，按</w:t>
      </w:r>
      <w:r>
        <w:rPr>
          <w:rFonts w:ascii="Times New Roman" w:hAnsi="Times New Roman" w:cs="Times New Roman" w:hint="eastAsia"/>
          <w:kern w:val="0"/>
          <w:sz w:val="18"/>
          <w:szCs w:val="18"/>
          <w:lang w:val="zh-CN"/>
        </w:rPr>
        <w:t>20%</w:t>
      </w:r>
      <w:r>
        <w:rPr>
          <w:rFonts w:ascii="Times New Roman" w:hAnsi="Times New Roman" w:cs="Times New Roman" w:hint="eastAsia"/>
          <w:kern w:val="0"/>
          <w:sz w:val="18"/>
          <w:szCs w:val="18"/>
          <w:lang w:val="zh-CN"/>
        </w:rPr>
        <w:t>的税率缴纳企业所得税。</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w:t>
      </w:r>
      <w:r>
        <w:rPr>
          <w:rFonts w:ascii="Times New Roman" w:hAnsi="Times New Roman" w:cs="Times New Roman"/>
          <w:kern w:val="0"/>
          <w:sz w:val="18"/>
          <w:szCs w:val="18"/>
          <w:lang w:val="zh-CN"/>
        </w:rPr>
        <w:t>2</w:t>
      </w:r>
      <w:r>
        <w:rPr>
          <w:rFonts w:ascii="Times New Roman" w:hAnsi="Times New Roman" w:cs="Times New Roman" w:hint="eastAsia"/>
          <w:kern w:val="0"/>
          <w:sz w:val="18"/>
          <w:szCs w:val="18"/>
          <w:lang w:val="zh-CN"/>
        </w:rPr>
        <w:t>）增值税</w:t>
      </w:r>
    </w:p>
    <w:p w:rsidR="00403CD6" w:rsidRDefault="00E91A59">
      <w:pPr>
        <w:autoSpaceDE w:val="0"/>
        <w:autoSpaceDN w:val="0"/>
        <w:adjustRightInd w:val="0"/>
        <w:ind w:firstLine="360"/>
        <w:rPr>
          <w:rFonts w:ascii="Times New Roman" w:hAnsi="Times New Roman" w:cs="Times New Roman"/>
          <w:kern w:val="0"/>
          <w:sz w:val="18"/>
          <w:szCs w:val="18"/>
          <w:lang w:val="zh-CN"/>
        </w:rPr>
      </w:pPr>
      <w:r>
        <w:rPr>
          <w:rFonts w:ascii="Times New Roman" w:hAnsi="Times New Roman" w:cs="Times New Roman" w:hint="eastAsia"/>
          <w:kern w:val="0"/>
          <w:sz w:val="18"/>
          <w:szCs w:val="18"/>
          <w:lang w:val="zh-CN"/>
        </w:rPr>
        <w:t>本公司下属子公司湛江晨鸣林业发展有限公司和阳江晨鸣林业发展有限公司、南昌晨鸣林业发展有限公司和</w:t>
      </w:r>
      <w:proofErr w:type="gramStart"/>
      <w:r>
        <w:rPr>
          <w:rFonts w:ascii="Times New Roman" w:hAnsi="Times New Roman" w:cs="Times New Roman" w:hint="eastAsia"/>
          <w:kern w:val="0"/>
          <w:sz w:val="18"/>
          <w:szCs w:val="18"/>
          <w:lang w:val="zh-CN"/>
        </w:rPr>
        <w:t>晨鸣</w:t>
      </w:r>
      <w:proofErr w:type="gramEnd"/>
      <w:r>
        <w:rPr>
          <w:rFonts w:ascii="Times New Roman" w:hAnsi="Times New Roman" w:cs="Times New Roman" w:hint="eastAsia"/>
          <w:kern w:val="0"/>
          <w:sz w:val="18"/>
          <w:szCs w:val="18"/>
          <w:lang w:val="zh-CN"/>
        </w:rPr>
        <w:t>林业有限公司依据《中华人民共和国增值税暂行条例》第十条免征增值税，已办理《纳税人减免税备案登记表》免征增值税。</w:t>
      </w:r>
    </w:p>
    <w:p w:rsidR="00403CD6" w:rsidRDefault="00E91A59">
      <w:pPr>
        <w:pStyle w:val="2"/>
        <w:spacing w:before="300" w:after="300" w:line="320" w:lineRule="exact"/>
        <w:rPr>
          <w:rFonts w:ascii="Times New Roman" w:hAnsi="Times New Roman" w:cs="Times New Roman"/>
          <w:b/>
          <w:bCs/>
          <w:sz w:val="24"/>
          <w:szCs w:val="24"/>
        </w:rPr>
      </w:pPr>
      <w:r>
        <w:rPr>
          <w:rFonts w:ascii="Times New Roman" w:hAnsi="Times New Roman" w:cs="Times New Roman"/>
          <w:b/>
          <w:bCs/>
          <w:sz w:val="24"/>
          <w:szCs w:val="24"/>
        </w:rPr>
        <w:t>七、合并财务报表项目注释</w:t>
      </w:r>
      <w:bookmarkEnd w:id="55"/>
    </w:p>
    <w:p w:rsidR="00403CD6" w:rsidRDefault="00E91A59">
      <w:pPr>
        <w:keepNext/>
        <w:keepLines/>
        <w:spacing w:before="300" w:after="300" w:line="280" w:lineRule="exact"/>
        <w:outlineLvl w:val="2"/>
        <w:rPr>
          <w:rFonts w:ascii="Times New Roman" w:hAnsi="Times New Roman" w:cs="Times New Roman"/>
          <w:b/>
          <w:bCs/>
          <w:szCs w:val="21"/>
        </w:rPr>
      </w:pPr>
      <w:bookmarkStart w:id="56" w:name="_Toc989134"/>
      <w:bookmarkStart w:id="57" w:name="_Toc989133"/>
      <w:r>
        <w:rPr>
          <w:rFonts w:ascii="Times New Roman" w:hAnsi="Times New Roman" w:cs="Times New Roman"/>
          <w:b/>
          <w:bCs/>
          <w:szCs w:val="21"/>
        </w:rPr>
        <w:t>1</w:t>
      </w:r>
      <w:r>
        <w:rPr>
          <w:rFonts w:ascii="Times New Roman" w:hAnsi="Times New Roman" w:cs="Times New Roman"/>
          <w:b/>
          <w:bCs/>
          <w:szCs w:val="21"/>
        </w:rPr>
        <w:t>、货币资金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231"/>
        <w:gridCol w:w="3232"/>
        <w:gridCol w:w="3230"/>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项目</w:t>
            </w:r>
          </w:p>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库存现金</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1,363,319.76</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3,674,805.36</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银行存款</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150,579,926.55</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760,558,937.25</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其他货币资金</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5,728,747,806.12</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11,321,241,125.05</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存放财务公司款项</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29,188,759.75</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39,357,963.64</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5,909,879,812.18</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12,124,832,831.30</w:t>
            </w:r>
          </w:p>
        </w:tc>
      </w:tr>
      <w:tr w:rsidR="00403CD6">
        <w:trPr>
          <w:trHeight w:val="284"/>
        </w:trPr>
        <w:tc>
          <w:tcPr>
            <w:tcW w:w="1667" w:type="pct"/>
            <w:shd w:val="clear" w:color="auto" w:fill="D3D3D3"/>
            <w:vAlign w:val="center"/>
          </w:tcPr>
          <w:p w:rsidR="00403CD6" w:rsidRDefault="00E91A59">
            <w:pPr>
              <w:spacing w:before="40" w:after="40" w:line="240" w:lineRule="exact"/>
              <w:ind w:firstLineChars="200" w:firstLine="360"/>
              <w:rPr>
                <w:rFonts w:ascii="宋体" w:eastAsia="宋体" w:hAnsi="宋体" w:cs="宋体"/>
                <w:sz w:val="18"/>
                <w:szCs w:val="18"/>
              </w:rPr>
            </w:pPr>
            <w:r>
              <w:rPr>
                <w:rFonts w:ascii="宋体" w:eastAsia="宋体" w:hAnsi="宋体" w:cs="宋体" w:hint="eastAsia"/>
                <w:sz w:val="18"/>
                <w:szCs w:val="18"/>
              </w:rPr>
              <w:t>其中：存放在境外的款项总额</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90,613,912.87</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261,470,228.68</w:t>
            </w:r>
          </w:p>
        </w:tc>
      </w:tr>
    </w:tbl>
    <w:p w:rsidR="00403CD6" w:rsidRDefault="00E91A59">
      <w:pPr>
        <w:spacing w:before="100" w:after="100" w:line="240" w:lineRule="exact"/>
        <w:rPr>
          <w:rFonts w:ascii="Times New Roman" w:hAnsi="Times New Roman" w:cs="Times New Roman"/>
          <w:sz w:val="18"/>
          <w:szCs w:val="18"/>
        </w:rPr>
      </w:pPr>
      <w:r>
        <w:rPr>
          <w:rFonts w:ascii="Times New Roman" w:hAnsi="Times New Roman" w:cs="Times New Roman"/>
          <w:sz w:val="18"/>
          <w:szCs w:val="18"/>
        </w:rPr>
        <w:t>其他说明：</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①其他货币资金中的</w:t>
      </w:r>
      <w:r>
        <w:rPr>
          <w:rFonts w:ascii="Times New Roman" w:eastAsia="宋体" w:hAnsi="Times New Roman" w:cs="Times New Roman"/>
          <w:sz w:val="18"/>
          <w:szCs w:val="18"/>
        </w:rPr>
        <w:t>4,199,123,725.42</w:t>
      </w:r>
      <w:r>
        <w:rPr>
          <w:rFonts w:ascii="Times New Roman" w:eastAsia="宋体" w:hAnsi="Times New Roman" w:cs="Times New Roman" w:hint="eastAsia"/>
          <w:sz w:val="18"/>
          <w:szCs w:val="18"/>
        </w:rPr>
        <w:t>元为本公司申请承兑汇票所存入的保证金；</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②其他货币资金中的</w:t>
      </w:r>
      <w:r>
        <w:rPr>
          <w:rFonts w:ascii="Times New Roman" w:eastAsia="宋体" w:hAnsi="Times New Roman" w:cs="Times New Roman"/>
          <w:sz w:val="18"/>
          <w:szCs w:val="18"/>
        </w:rPr>
        <w:t>1,454,708,192.10</w:t>
      </w:r>
      <w:r>
        <w:rPr>
          <w:rFonts w:ascii="Times New Roman" w:eastAsia="宋体" w:hAnsi="Times New Roman" w:cs="Times New Roman" w:hint="eastAsia"/>
          <w:sz w:val="18"/>
          <w:szCs w:val="18"/>
        </w:rPr>
        <w:t>元为本公司向银行申请开具信用证所存入的保证金；</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③其他货币资金中的</w:t>
      </w:r>
      <w:r>
        <w:rPr>
          <w:rFonts w:ascii="Times New Roman" w:eastAsia="宋体" w:hAnsi="Times New Roman" w:cs="Times New Roman" w:hint="eastAsia"/>
          <w:sz w:val="18"/>
          <w:szCs w:val="18"/>
        </w:rPr>
        <w:t>16,224,110.34</w:t>
      </w:r>
      <w:r>
        <w:rPr>
          <w:rFonts w:ascii="Times New Roman" w:eastAsia="宋体" w:hAnsi="Times New Roman" w:cs="Times New Roman" w:hint="eastAsia"/>
          <w:sz w:val="18"/>
          <w:szCs w:val="18"/>
        </w:rPr>
        <w:t>元为本公司向银行申请贷款所存入的保证金存款；</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④其他货币资金中的</w:t>
      </w:r>
      <w:r>
        <w:rPr>
          <w:rFonts w:ascii="Times New Roman" w:eastAsia="宋体" w:hAnsi="Times New Roman" w:cs="Times New Roman" w:hint="eastAsia"/>
          <w:sz w:val="18"/>
          <w:szCs w:val="18"/>
        </w:rPr>
        <w:t>12,972,408.07</w:t>
      </w:r>
      <w:r>
        <w:rPr>
          <w:rFonts w:ascii="Times New Roman" w:eastAsia="宋体" w:hAnsi="Times New Roman" w:cs="Times New Roman" w:hint="eastAsia"/>
          <w:sz w:val="18"/>
          <w:szCs w:val="18"/>
        </w:rPr>
        <w:t>元为本公司向中国人民银行存入的法定存款准备金；</w:t>
      </w:r>
    </w:p>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⑤其他货币资金中的</w:t>
      </w:r>
      <w:r>
        <w:rPr>
          <w:rFonts w:ascii="Times New Roman" w:eastAsia="宋体" w:hAnsi="Times New Roman" w:cs="Times New Roman"/>
          <w:sz w:val="18"/>
          <w:szCs w:val="18"/>
        </w:rPr>
        <w:t>45,719,370.19</w:t>
      </w:r>
      <w:r>
        <w:rPr>
          <w:rFonts w:ascii="Times New Roman" w:eastAsia="宋体" w:hAnsi="Times New Roman" w:cs="Times New Roman" w:hint="eastAsia"/>
          <w:sz w:val="18"/>
          <w:szCs w:val="18"/>
        </w:rPr>
        <w:t>元因诉讼或长期未使用等原因被限制支付或冻结账户，致使该账户余额使用受限。</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2、交易性金融资产</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4563"/>
        <w:gridCol w:w="1900"/>
        <w:gridCol w:w="3230"/>
      </w:tblGrid>
      <w:tr w:rsidR="00403CD6">
        <w:trPr>
          <w:trHeight w:val="284"/>
        </w:trPr>
        <w:tc>
          <w:tcPr>
            <w:tcW w:w="2354"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项目</w:t>
            </w:r>
          </w:p>
        </w:tc>
        <w:tc>
          <w:tcPr>
            <w:tcW w:w="98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r>
      <w:tr w:rsidR="00403CD6">
        <w:trPr>
          <w:trHeight w:val="284"/>
        </w:trPr>
        <w:tc>
          <w:tcPr>
            <w:tcW w:w="2354"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hint="eastAsia"/>
                <w:color w:val="000000"/>
                <w:sz w:val="18"/>
                <w:szCs w:val="18"/>
              </w:rPr>
              <w:lastRenderedPageBreak/>
              <w:t>以公允价值计量且其变动计入当期损益的金融资产</w:t>
            </w:r>
          </w:p>
        </w:tc>
        <w:tc>
          <w:tcPr>
            <w:tcW w:w="98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37,259,325.70</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46,294,291.71</w:t>
            </w:r>
          </w:p>
        </w:tc>
      </w:tr>
      <w:tr w:rsidR="00403CD6">
        <w:trPr>
          <w:trHeight w:val="284"/>
        </w:trPr>
        <w:tc>
          <w:tcPr>
            <w:tcW w:w="2354"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hint="eastAsia"/>
                <w:color w:val="000000"/>
                <w:sz w:val="18"/>
                <w:szCs w:val="18"/>
              </w:rPr>
              <w:t>其中：</w:t>
            </w:r>
          </w:p>
        </w:tc>
        <w:tc>
          <w:tcPr>
            <w:tcW w:w="980" w:type="pct"/>
            <w:tcBorders>
              <w:bottom w:val="single" w:sz="4" w:space="0" w:color="auto"/>
            </w:tcBorders>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1666" w:type="pct"/>
            <w:tcBorders>
              <w:bottom w:val="single" w:sz="4" w:space="0" w:color="auto"/>
            </w:tcBorders>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r>
      <w:tr w:rsidR="00403CD6">
        <w:trPr>
          <w:trHeight w:val="284"/>
        </w:trPr>
        <w:tc>
          <w:tcPr>
            <w:tcW w:w="2354"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hint="eastAsia"/>
                <w:color w:val="000000"/>
                <w:sz w:val="18"/>
                <w:szCs w:val="18"/>
              </w:rPr>
              <w:t>权益工具投资</w:t>
            </w:r>
          </w:p>
        </w:tc>
        <w:tc>
          <w:tcPr>
            <w:tcW w:w="980" w:type="pct"/>
            <w:shd w:val="clear" w:color="auto" w:fill="auto"/>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37,259,325.70</w:t>
            </w:r>
          </w:p>
        </w:tc>
        <w:tc>
          <w:tcPr>
            <w:tcW w:w="1666" w:type="pct"/>
            <w:shd w:val="clear" w:color="auto" w:fill="auto"/>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46,294,291.71</w:t>
            </w:r>
          </w:p>
        </w:tc>
      </w:tr>
      <w:tr w:rsidR="00403CD6">
        <w:trPr>
          <w:trHeight w:val="284"/>
        </w:trPr>
        <w:tc>
          <w:tcPr>
            <w:tcW w:w="2354"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980"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37,259,325.70</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46,294,291.71</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说明：交易性金融资产为本公司认购的渤海银行的股票。</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3、应收票据</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应收票据分类列示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项目</w:t>
            </w:r>
          </w:p>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银行承兑票据</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商业承兑票据</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506,605,701.74</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411,600,000.00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506,605,701.74</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411,600,000.00</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期末公司已背书或贴现且在资产负债表日尚未到期的应收票据</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期末终止确认金额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期末未终止确认金额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银行承兑票据</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商业承兑票据</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223,000.00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223,000.00</w:t>
            </w:r>
          </w:p>
        </w:tc>
      </w:tr>
    </w:tbl>
    <w:p w:rsidR="00403CD6" w:rsidRDefault="00403CD6"/>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4、应收账款</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 xml:space="preserve">（1） </w:t>
      </w:r>
      <w:proofErr w:type="gramStart"/>
      <w:r>
        <w:rPr>
          <w:rFonts w:ascii="宋体" w:eastAsia="宋体" w:hAnsi="宋体" w:cs="宋体" w:hint="eastAsia"/>
          <w:b/>
          <w:bCs/>
          <w:szCs w:val="21"/>
        </w:rPr>
        <w:t>按账龄</w:t>
      </w:r>
      <w:proofErr w:type="gramEnd"/>
      <w:r>
        <w:rPr>
          <w:rFonts w:ascii="宋体" w:eastAsia="宋体" w:hAnsi="宋体" w:cs="宋体" w:hint="eastAsia"/>
          <w:b/>
          <w:bCs/>
          <w:szCs w:val="21"/>
        </w:rPr>
        <w:t>披露</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40"/>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账龄</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期末账面余额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期初账面余额</w:t>
            </w:r>
          </w:p>
        </w:tc>
      </w:tr>
      <w:tr w:rsidR="00403CD6">
        <w:trPr>
          <w:trHeight w:val="240"/>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年以内（含</w:t>
            </w:r>
            <w:r>
              <w:rPr>
                <w:rFonts w:ascii="Times New Roman" w:eastAsia="宋体" w:hAnsi="Times New Roman" w:cs="Times New Roman"/>
                <w:sz w:val="18"/>
                <w:szCs w:val="18"/>
              </w:rPr>
              <w:t>1</w:t>
            </w:r>
            <w:r>
              <w:rPr>
                <w:rFonts w:ascii="Times New Roman" w:eastAsia="宋体" w:hAnsi="Times New Roman" w:cs="Times New Roman"/>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929,046,115.66</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1,561,046,809.05</w:t>
            </w:r>
          </w:p>
        </w:tc>
      </w:tr>
      <w:tr w:rsidR="00403CD6">
        <w:trPr>
          <w:trHeight w:val="240"/>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至</w:t>
            </w:r>
            <w:r>
              <w:rPr>
                <w:rFonts w:ascii="Times New Roman" w:eastAsia="宋体" w:hAnsi="Times New Roman" w:cs="Times New Roman"/>
                <w:sz w:val="18"/>
                <w:szCs w:val="18"/>
              </w:rPr>
              <w:t>2</w:t>
            </w:r>
            <w:r>
              <w:rPr>
                <w:rFonts w:ascii="Times New Roman" w:eastAsia="宋体" w:hAnsi="Times New Roman" w:cs="Times New Roman"/>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274,913,099.67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385,112,389.04</w:t>
            </w:r>
          </w:p>
        </w:tc>
      </w:tr>
      <w:tr w:rsidR="00403CD6">
        <w:trPr>
          <w:trHeight w:val="240"/>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至</w:t>
            </w:r>
            <w:r>
              <w:rPr>
                <w:rFonts w:ascii="Times New Roman" w:eastAsia="宋体" w:hAnsi="Times New Roman" w:cs="Times New Roman"/>
                <w:sz w:val="18"/>
                <w:szCs w:val="18"/>
              </w:rPr>
              <w:t>3</w:t>
            </w:r>
            <w:r>
              <w:rPr>
                <w:rFonts w:ascii="Times New Roman" w:eastAsia="宋体" w:hAnsi="Times New Roman" w:cs="Times New Roman"/>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352,196,765.13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722,669,952.03</w:t>
            </w:r>
          </w:p>
        </w:tc>
      </w:tr>
      <w:tr w:rsidR="00403CD6">
        <w:trPr>
          <w:trHeight w:val="240"/>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年以上</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1,112,205,999.57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408,747,914.19</w:t>
            </w:r>
          </w:p>
        </w:tc>
      </w:tr>
      <w:tr w:rsidR="00403CD6">
        <w:trPr>
          <w:trHeight w:val="240"/>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小计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2,668,361,980.03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3,077,577,064.31</w:t>
            </w:r>
          </w:p>
        </w:tc>
      </w:tr>
      <w:tr w:rsidR="00403CD6">
        <w:trPr>
          <w:trHeight w:val="240"/>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减：坏账准备</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1,284,071,666.33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549,070,004.48</w:t>
            </w:r>
          </w:p>
        </w:tc>
      </w:tr>
      <w:tr w:rsidR="00403CD6">
        <w:trPr>
          <w:trHeight w:val="240"/>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1,384,290,313.70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2,528,507,059.83</w:t>
            </w:r>
          </w:p>
        </w:tc>
      </w:tr>
    </w:tbl>
    <w:p w:rsidR="00403CD6" w:rsidRDefault="00E91A59">
      <w:pPr>
        <w:spacing w:before="100" w:after="100" w:line="240" w:lineRule="exact"/>
        <w:ind w:firstLineChars="200" w:firstLine="360"/>
        <w:rPr>
          <w:rFonts w:ascii="宋体" w:eastAsia="宋体" w:hAnsi="宋体" w:cs="宋体"/>
          <w:sz w:val="18"/>
          <w:szCs w:val="18"/>
        </w:rPr>
      </w:pPr>
      <w:r>
        <w:rPr>
          <w:rFonts w:ascii="宋体" w:eastAsia="宋体" w:hAnsi="宋体" w:cs="宋体" w:hint="eastAsia"/>
          <w:sz w:val="18"/>
          <w:szCs w:val="18"/>
        </w:rPr>
        <w:t>公司应收账款的账龄分析所采用的</w:t>
      </w:r>
      <w:proofErr w:type="gramStart"/>
      <w:r>
        <w:rPr>
          <w:rFonts w:ascii="宋体" w:eastAsia="宋体" w:hAnsi="宋体" w:cs="宋体" w:hint="eastAsia"/>
          <w:sz w:val="18"/>
          <w:szCs w:val="18"/>
        </w:rPr>
        <w:t>的</w:t>
      </w:r>
      <w:proofErr w:type="gramEnd"/>
      <w:r>
        <w:rPr>
          <w:rFonts w:ascii="宋体" w:eastAsia="宋体" w:hAnsi="宋体" w:cs="宋体" w:hint="eastAsia"/>
          <w:sz w:val="18"/>
          <w:szCs w:val="18"/>
        </w:rPr>
        <w:t>基准是： 应收账款账龄是指公司尚未收回的应收账款的时间长度，以发票开具时间作为基准，把期末余额从期末开始逐笔往前确认，划分为1年以内，1-2年，2-3年，3年以上，一直确认</w:t>
      </w:r>
      <w:proofErr w:type="gramStart"/>
      <w:r>
        <w:rPr>
          <w:rFonts w:ascii="宋体" w:eastAsia="宋体" w:hAnsi="宋体" w:cs="宋体" w:hint="eastAsia"/>
          <w:sz w:val="18"/>
          <w:szCs w:val="18"/>
        </w:rPr>
        <w:t>到金额</w:t>
      </w:r>
      <w:proofErr w:type="gramEnd"/>
      <w:r>
        <w:rPr>
          <w:rFonts w:ascii="宋体" w:eastAsia="宋体" w:hAnsi="宋体" w:cs="宋体" w:hint="eastAsia"/>
          <w:sz w:val="18"/>
          <w:szCs w:val="18"/>
        </w:rPr>
        <w:t>达到余额数。</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按坏账计提方法分类披露</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242"/>
        <w:gridCol w:w="851"/>
        <w:gridCol w:w="709"/>
        <w:gridCol w:w="708"/>
        <w:gridCol w:w="851"/>
        <w:gridCol w:w="865"/>
        <w:gridCol w:w="978"/>
        <w:gridCol w:w="749"/>
        <w:gridCol w:w="952"/>
        <w:gridCol w:w="992"/>
        <w:gridCol w:w="956"/>
      </w:tblGrid>
      <w:tr w:rsidR="00403CD6">
        <w:trPr>
          <w:trHeight w:val="284"/>
        </w:trPr>
        <w:tc>
          <w:tcPr>
            <w:tcW w:w="1242"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类别</w:t>
            </w:r>
          </w:p>
        </w:tc>
        <w:tc>
          <w:tcPr>
            <w:tcW w:w="3984" w:type="dxa"/>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4627" w:type="dxa"/>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242" w:type="dxa"/>
            <w:vMerge/>
            <w:vAlign w:val="center"/>
          </w:tcPr>
          <w:p w:rsidR="00403CD6" w:rsidRDefault="00403CD6">
            <w:pPr>
              <w:widowControl/>
              <w:rPr>
                <w:rFonts w:ascii="Times New Roman" w:eastAsia="宋体" w:hAnsi="Times New Roman" w:cs="Times New Roman"/>
                <w:sz w:val="18"/>
                <w:szCs w:val="18"/>
              </w:rPr>
            </w:pPr>
          </w:p>
        </w:tc>
        <w:tc>
          <w:tcPr>
            <w:tcW w:w="1560" w:type="dxa"/>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559" w:type="dxa"/>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865"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1727" w:type="dxa"/>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944" w:type="dxa"/>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956"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1242" w:type="dxa"/>
            <w:vMerge/>
            <w:vAlign w:val="center"/>
          </w:tcPr>
          <w:p w:rsidR="00403CD6" w:rsidRDefault="00403CD6">
            <w:pPr>
              <w:widowControl/>
              <w:rPr>
                <w:rFonts w:ascii="Times New Roman" w:eastAsia="宋体" w:hAnsi="Times New Roman" w:cs="Times New Roman"/>
                <w:sz w:val="18"/>
                <w:szCs w:val="18"/>
              </w:rPr>
            </w:pPr>
          </w:p>
        </w:tc>
        <w:tc>
          <w:tcPr>
            <w:tcW w:w="8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70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hint="eastAsia"/>
                <w:sz w:val="18"/>
                <w:szCs w:val="18"/>
              </w:rPr>
              <w:t>(</w:t>
            </w:r>
            <w:r>
              <w:rPr>
                <w:rFonts w:ascii="Times New Roman" w:eastAsia="宋体" w:hAnsi="Times New Roman" w:cs="Times New Roman"/>
                <w:sz w:val="18"/>
                <w:szCs w:val="18"/>
              </w:rPr>
              <w:t>%</w:t>
            </w:r>
            <w:r>
              <w:rPr>
                <w:rFonts w:ascii="Times New Roman" w:eastAsia="宋体" w:hAnsi="Times New Roman" w:cs="Times New Roman" w:hint="eastAsia"/>
                <w:sz w:val="18"/>
                <w:szCs w:val="18"/>
              </w:rPr>
              <w:t>)</w:t>
            </w:r>
          </w:p>
        </w:tc>
        <w:tc>
          <w:tcPr>
            <w:tcW w:w="708"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8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865" w:type="dxa"/>
            <w:vMerge/>
            <w:vAlign w:val="center"/>
          </w:tcPr>
          <w:p w:rsidR="00403CD6" w:rsidRDefault="00403CD6">
            <w:pPr>
              <w:widowControl/>
              <w:rPr>
                <w:rFonts w:ascii="Times New Roman" w:eastAsia="宋体" w:hAnsi="Times New Roman" w:cs="Times New Roman"/>
                <w:sz w:val="18"/>
                <w:szCs w:val="18"/>
              </w:rPr>
            </w:pPr>
          </w:p>
        </w:tc>
        <w:tc>
          <w:tcPr>
            <w:tcW w:w="978"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74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hint="eastAsia"/>
                <w:sz w:val="18"/>
                <w:szCs w:val="18"/>
              </w:rPr>
              <w:t>(</w:t>
            </w:r>
            <w:r>
              <w:rPr>
                <w:rFonts w:ascii="Times New Roman" w:eastAsia="宋体" w:hAnsi="Times New Roman" w:cs="Times New Roman"/>
                <w:sz w:val="18"/>
                <w:szCs w:val="18"/>
              </w:rPr>
              <w:t>%</w:t>
            </w:r>
            <w:r>
              <w:rPr>
                <w:rFonts w:ascii="Times New Roman" w:eastAsia="宋体" w:hAnsi="Times New Roman" w:cs="Times New Roman" w:hint="eastAsia"/>
                <w:sz w:val="18"/>
                <w:szCs w:val="18"/>
              </w:rPr>
              <w:t>)</w:t>
            </w:r>
          </w:p>
        </w:tc>
        <w:tc>
          <w:tcPr>
            <w:tcW w:w="95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99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956" w:type="dxa"/>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24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按单项计提坏账准备的应收账款</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252,399,157.18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9.46</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244,457,449.18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96.85</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7,941,708.00</w:t>
            </w:r>
            <w:r>
              <w:rPr>
                <w:rFonts w:ascii="Times New Roman" w:hAnsi="Times New Roman" w:cs="Times New Roman"/>
                <w:color w:val="000000"/>
                <w:sz w:val="18"/>
                <w:szCs w:val="18"/>
              </w:rPr>
              <w:t xml:space="preserve">　</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201,074,254.68</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6.53</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193,132,546.68</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96.05</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7,941,708.00</w:t>
            </w:r>
          </w:p>
        </w:tc>
      </w:tr>
      <w:tr w:rsidR="00403CD6">
        <w:trPr>
          <w:trHeight w:val="284"/>
        </w:trPr>
        <w:tc>
          <w:tcPr>
            <w:tcW w:w="124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按组合计提坏账准备的应收账款</w:t>
            </w:r>
          </w:p>
        </w:tc>
        <w:tc>
          <w:tcPr>
            <w:tcW w:w="851"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2,415,962,822.85</w:t>
            </w:r>
          </w:p>
        </w:tc>
        <w:tc>
          <w:tcPr>
            <w:tcW w:w="709"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90.54</w:t>
            </w:r>
          </w:p>
        </w:tc>
        <w:tc>
          <w:tcPr>
            <w:tcW w:w="708"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1,039,614,217.1</w:t>
            </w:r>
            <w:r>
              <w:rPr>
                <w:rFonts w:ascii="Times New Roman" w:hAnsi="Times New Roman" w:cs="Times New Roman" w:hint="eastAsia"/>
                <w:color w:val="000000"/>
                <w:sz w:val="18"/>
                <w:szCs w:val="18"/>
              </w:rPr>
              <w:t>5</w:t>
            </w:r>
          </w:p>
        </w:tc>
        <w:tc>
          <w:tcPr>
            <w:tcW w:w="851"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43.03</w:t>
            </w:r>
          </w:p>
        </w:tc>
        <w:tc>
          <w:tcPr>
            <w:tcW w:w="865"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1,376,348,605.70</w:t>
            </w:r>
          </w:p>
        </w:tc>
        <w:tc>
          <w:tcPr>
            <w:tcW w:w="978"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2,876,502,809.63</w:t>
            </w:r>
          </w:p>
        </w:tc>
        <w:tc>
          <w:tcPr>
            <w:tcW w:w="749"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93.47</w:t>
            </w:r>
          </w:p>
        </w:tc>
        <w:tc>
          <w:tcPr>
            <w:tcW w:w="952"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355,937,457.80</w:t>
            </w:r>
          </w:p>
        </w:tc>
        <w:tc>
          <w:tcPr>
            <w:tcW w:w="992"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12.37</w:t>
            </w:r>
          </w:p>
        </w:tc>
        <w:tc>
          <w:tcPr>
            <w:tcW w:w="956" w:type="dxa"/>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2,520,565,351.83</w:t>
            </w:r>
          </w:p>
        </w:tc>
      </w:tr>
      <w:tr w:rsidR="00403CD6">
        <w:trPr>
          <w:trHeight w:val="284"/>
        </w:trPr>
        <w:tc>
          <w:tcPr>
            <w:tcW w:w="1242"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Cs w:val="21"/>
              </w:rPr>
              <w:t xml:space="preserve">　</w:t>
            </w:r>
          </w:p>
        </w:tc>
      </w:tr>
      <w:tr w:rsidR="00403CD6">
        <w:trPr>
          <w:trHeight w:val="284"/>
        </w:trPr>
        <w:tc>
          <w:tcPr>
            <w:tcW w:w="1242"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应收关联方</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1,945,551.12</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0.07</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13,618.86</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0.7</w:t>
            </w:r>
            <w:r>
              <w:rPr>
                <w:rFonts w:ascii="Times New Roman" w:hAnsi="Times New Roman" w:cs="Times New Roman" w:hint="eastAsia"/>
                <w:color w:val="000000"/>
                <w:sz w:val="18"/>
                <w:szCs w:val="18"/>
              </w:rPr>
              <w:t>0</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1,931,932.26</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2,359.03</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23.18</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0.98</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2,335.85</w:t>
            </w:r>
          </w:p>
        </w:tc>
      </w:tr>
      <w:tr w:rsidR="00403CD6">
        <w:trPr>
          <w:trHeight w:val="284"/>
        </w:trPr>
        <w:tc>
          <w:tcPr>
            <w:tcW w:w="1242" w:type="dxa"/>
            <w:vAlign w:val="center"/>
          </w:tcPr>
          <w:p w:rsidR="00403CD6" w:rsidRDefault="00E91A59">
            <w:pPr>
              <w:spacing w:line="240" w:lineRule="exact"/>
              <w:rPr>
                <w:rFonts w:ascii="Times New Roman" w:eastAsia="宋体" w:hAnsi="Times New Roman" w:cs="Times New Roman"/>
                <w:sz w:val="18"/>
                <w:szCs w:val="18"/>
              </w:rPr>
            </w:pPr>
            <w:proofErr w:type="gramStart"/>
            <w:r>
              <w:rPr>
                <w:rFonts w:ascii="Times New Roman" w:hAnsi="Times New Roman" w:cs="Times New Roman"/>
                <w:color w:val="000000"/>
                <w:sz w:val="18"/>
                <w:szCs w:val="18"/>
              </w:rPr>
              <w:t>应收非</w:t>
            </w:r>
            <w:proofErr w:type="gramEnd"/>
            <w:r>
              <w:rPr>
                <w:rFonts w:ascii="Times New Roman" w:hAnsi="Times New Roman" w:cs="Times New Roman"/>
                <w:color w:val="000000"/>
                <w:sz w:val="18"/>
                <w:szCs w:val="18"/>
              </w:rPr>
              <w:t>关联方</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1,153,594,000.22  </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43.23</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126,192,125.6</w:t>
            </w:r>
            <w:r>
              <w:rPr>
                <w:rFonts w:ascii="Times New Roman" w:hAnsi="Times New Roman" w:cs="Times New Roman" w:hint="eastAsia"/>
                <w:color w:val="000000"/>
                <w:sz w:val="18"/>
                <w:szCs w:val="18"/>
              </w:rPr>
              <w:t>9</w:t>
            </w:r>
            <w:r>
              <w:rPr>
                <w:rFonts w:ascii="Times New Roman" w:hAnsi="Times New Roman" w:cs="Times New Roman"/>
                <w:color w:val="000000"/>
                <w:sz w:val="18"/>
                <w:szCs w:val="18"/>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10.94</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1,027,401,874.5</w:t>
            </w:r>
            <w:r>
              <w:rPr>
                <w:rFonts w:ascii="Times New Roman" w:hAnsi="Times New Roman" w:cs="Times New Roman" w:hint="eastAsia"/>
                <w:color w:val="000000"/>
                <w:sz w:val="18"/>
                <w:szCs w:val="18"/>
              </w:rPr>
              <w:t>3</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1,545,540,409.94</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50.22</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81,008,019.20</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5.24</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1,464,532,390.74</w:t>
            </w:r>
          </w:p>
        </w:tc>
      </w:tr>
      <w:tr w:rsidR="00403CD6">
        <w:trPr>
          <w:trHeight w:val="284"/>
        </w:trPr>
        <w:tc>
          <w:tcPr>
            <w:tcW w:w="1242"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应收</w:t>
            </w:r>
            <w:proofErr w:type="gramStart"/>
            <w:r>
              <w:rPr>
                <w:rFonts w:hint="eastAsia"/>
                <w:color w:val="000000"/>
                <w:sz w:val="18"/>
                <w:szCs w:val="18"/>
              </w:rPr>
              <w:t>保理款</w:t>
            </w:r>
            <w:proofErr w:type="gramEnd"/>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1,260,423,271.51</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47.24</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913,408,472.60</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72.47</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347,014,798.91   </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1,330,960,040.66</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43.25</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274,929,415.42</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20.66</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1,056,030,625.24</w:t>
            </w:r>
          </w:p>
        </w:tc>
      </w:tr>
      <w:tr w:rsidR="00403CD6">
        <w:trPr>
          <w:trHeight w:val="284"/>
        </w:trPr>
        <w:tc>
          <w:tcPr>
            <w:tcW w:w="124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2,668,361,980.03</w:t>
            </w:r>
          </w:p>
        </w:tc>
        <w:tc>
          <w:tcPr>
            <w:tcW w:w="70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70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1,284,071,666.33</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48.12</w:t>
            </w:r>
          </w:p>
        </w:tc>
        <w:tc>
          <w:tcPr>
            <w:tcW w:w="865"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1,384,290,313.70</w:t>
            </w:r>
          </w:p>
        </w:tc>
        <w:tc>
          <w:tcPr>
            <w:tcW w:w="978"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3,077,577,064.31</w:t>
            </w:r>
          </w:p>
        </w:tc>
        <w:tc>
          <w:tcPr>
            <w:tcW w:w="749"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5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549,070,004.48</w:t>
            </w:r>
          </w:p>
        </w:tc>
        <w:tc>
          <w:tcPr>
            <w:tcW w:w="992"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17.84</w:t>
            </w:r>
          </w:p>
        </w:tc>
        <w:tc>
          <w:tcPr>
            <w:tcW w:w="956"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2,528,507,059.83</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按单项计提坏账准备：</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29"/>
        <w:gridCol w:w="2199"/>
        <w:gridCol w:w="2268"/>
        <w:gridCol w:w="1492"/>
        <w:gridCol w:w="1165"/>
      </w:tblGrid>
      <w:tr w:rsidR="00403CD6">
        <w:trPr>
          <w:trHeight w:val="284"/>
        </w:trPr>
        <w:tc>
          <w:tcPr>
            <w:tcW w:w="138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3615"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385" w:type="pct"/>
            <w:vMerge/>
            <w:vAlign w:val="center"/>
          </w:tcPr>
          <w:p w:rsidR="00403CD6" w:rsidRDefault="00403CD6">
            <w:pPr>
              <w:widowControl/>
              <w:rPr>
                <w:rFonts w:ascii="Times New Roman" w:eastAsia="宋体" w:hAnsi="Times New Roman" w:cs="Times New Roman"/>
                <w:sz w:val="18"/>
                <w:szCs w:val="18"/>
              </w:rPr>
            </w:pPr>
          </w:p>
        </w:tc>
        <w:tc>
          <w:tcPr>
            <w:tcW w:w="111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1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75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5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计提理由</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w:t>
            </w:r>
            <w:proofErr w:type="gramStart"/>
            <w:r>
              <w:rPr>
                <w:rFonts w:ascii="Times New Roman" w:hAnsi="Times New Roman" w:cs="Times New Roman" w:hint="eastAsia"/>
                <w:color w:val="000000"/>
                <w:sz w:val="18"/>
                <w:szCs w:val="18"/>
              </w:rPr>
              <w:t>一</w:t>
            </w:r>
            <w:proofErr w:type="gramEnd"/>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26,697,528.70</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26,697,528.70</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客户二</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17,600,000.00</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9,658,292.00</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54.88</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客户三</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14,813,369.27</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14,813,369.27</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客户四</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14,453,432.93</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14,453,432.93</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客户五</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13,396,601.22</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13,396,601.22</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客户六</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10,954,285.12</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10,954,285.12</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proofErr w:type="gramStart"/>
            <w:r>
              <w:rPr>
                <w:rFonts w:ascii="Times New Roman" w:hAnsi="Times New Roman" w:cs="Times New Roman" w:hint="eastAsia"/>
                <w:color w:val="000000"/>
                <w:sz w:val="18"/>
                <w:szCs w:val="18"/>
              </w:rPr>
              <w:t>客户七</w:t>
            </w:r>
            <w:proofErr w:type="gramEnd"/>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10,624,137.64</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10,624,137.64</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proofErr w:type="gramStart"/>
            <w:r>
              <w:rPr>
                <w:rFonts w:ascii="Times New Roman" w:hAnsi="Times New Roman" w:cs="Times New Roman" w:hint="eastAsia"/>
                <w:color w:val="000000"/>
                <w:sz w:val="18"/>
                <w:szCs w:val="18"/>
              </w:rPr>
              <w:t>客户八</w:t>
            </w:r>
            <w:proofErr w:type="gramEnd"/>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10,614,691.35</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10,614,691.35</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客户九</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10,250,525.02</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10,250,525.02</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客户十</w:t>
            </w:r>
            <w:r>
              <w:rPr>
                <w:rFonts w:ascii="Times New Roman" w:hAnsi="Times New Roman" w:cs="Times New Roman"/>
                <w:color w:val="000000"/>
                <w:sz w:val="18"/>
                <w:szCs w:val="18"/>
              </w:rPr>
              <w:t>等</w:t>
            </w:r>
            <w:r>
              <w:rPr>
                <w:rFonts w:ascii="Times New Roman" w:hAnsi="Times New Roman" w:cs="Times New Roman" w:hint="eastAsia"/>
                <w:color w:val="000000"/>
                <w:sz w:val="18"/>
                <w:szCs w:val="18"/>
              </w:rPr>
              <w:t>46</w:t>
            </w:r>
            <w:r>
              <w:rPr>
                <w:rFonts w:ascii="Times New Roman" w:hAnsi="Times New Roman" w:cs="Times New Roman"/>
                <w:color w:val="000000"/>
                <w:sz w:val="18"/>
                <w:szCs w:val="18"/>
              </w:rPr>
              <w:t>家单位</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122,994,585.93</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122,994,585.93</w:t>
            </w:r>
          </w:p>
        </w:tc>
        <w:tc>
          <w:tcPr>
            <w:tcW w:w="75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59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38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11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252,399,157.18</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244,457,449.18</w:t>
            </w:r>
          </w:p>
        </w:tc>
        <w:tc>
          <w:tcPr>
            <w:tcW w:w="757" w:type="pct"/>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96.85</w:t>
            </w:r>
          </w:p>
        </w:tc>
        <w:tc>
          <w:tcPr>
            <w:tcW w:w="591"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986"/>
        <w:gridCol w:w="1419"/>
        <w:gridCol w:w="993"/>
        <w:gridCol w:w="1945"/>
      </w:tblGrid>
      <w:tr w:rsidR="00403CD6">
        <w:trPr>
          <w:trHeight w:val="284"/>
        </w:trPr>
        <w:tc>
          <w:tcPr>
            <w:tcW w:w="1781"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3219"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w:t>
            </w:r>
            <w:r>
              <w:rPr>
                <w:rFonts w:ascii="Times New Roman" w:eastAsia="宋体" w:hAnsi="Times New Roman" w:cs="Times New Roman" w:hint="eastAsia"/>
                <w:sz w:val="18"/>
                <w:szCs w:val="18"/>
              </w:rPr>
              <w:t>初</w:t>
            </w:r>
            <w:r>
              <w:rPr>
                <w:rFonts w:ascii="Times New Roman" w:eastAsia="宋体" w:hAnsi="Times New Roman" w:cs="Times New Roman"/>
                <w:sz w:val="18"/>
                <w:szCs w:val="18"/>
              </w:rPr>
              <w:t>余额</w:t>
            </w:r>
          </w:p>
        </w:tc>
      </w:tr>
      <w:tr w:rsidR="00403CD6">
        <w:trPr>
          <w:trHeight w:val="284"/>
        </w:trPr>
        <w:tc>
          <w:tcPr>
            <w:tcW w:w="1781" w:type="pct"/>
            <w:vMerge/>
            <w:vAlign w:val="center"/>
          </w:tcPr>
          <w:p w:rsidR="00403CD6" w:rsidRDefault="00403CD6">
            <w:pPr>
              <w:widowControl/>
              <w:rPr>
                <w:rFonts w:ascii="Times New Roman" w:eastAsia="宋体" w:hAnsi="Times New Roman" w:cs="Times New Roman"/>
                <w:sz w:val="18"/>
                <w:szCs w:val="18"/>
              </w:rPr>
            </w:pPr>
          </w:p>
        </w:tc>
        <w:tc>
          <w:tcPr>
            <w:tcW w:w="100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7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50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98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计提理由</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w:t>
            </w:r>
            <w:proofErr w:type="gramStart"/>
            <w:r>
              <w:rPr>
                <w:rFonts w:ascii="Times New Roman" w:hAnsi="Times New Roman" w:cs="Times New Roman" w:hint="eastAsia"/>
                <w:color w:val="000000"/>
                <w:sz w:val="18"/>
                <w:szCs w:val="18"/>
              </w:rPr>
              <w:t>一</w:t>
            </w:r>
            <w:proofErr w:type="gramEnd"/>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45,493,811.40</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45,493,811.40</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客户二</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26,697,528.70</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26,697,528.70</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客户三</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17,600,000.00</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9,658,292.00</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54.88</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客户四</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14,813,369.27</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14,813,369.27</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客户五</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14,753,432.93</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14,753,432.93</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客户六</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13,396,601.22</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13,396,601.22</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客户七</w:t>
            </w:r>
            <w:r>
              <w:rPr>
                <w:rFonts w:ascii="Times New Roman" w:hAnsi="Times New Roman" w:cs="Times New Roman"/>
                <w:color w:val="000000"/>
                <w:sz w:val="18"/>
                <w:szCs w:val="18"/>
              </w:rPr>
              <w:t>等</w:t>
            </w:r>
            <w:r>
              <w:rPr>
                <w:rFonts w:ascii="Times New Roman" w:hAnsi="Times New Roman" w:cs="Times New Roman"/>
                <w:color w:val="000000"/>
                <w:sz w:val="18"/>
                <w:szCs w:val="18"/>
              </w:rPr>
              <w:t>49</w:t>
            </w:r>
            <w:r>
              <w:rPr>
                <w:rFonts w:ascii="Times New Roman" w:hAnsi="Times New Roman" w:cs="Times New Roman"/>
                <w:color w:val="000000"/>
                <w:sz w:val="18"/>
                <w:szCs w:val="18"/>
              </w:rPr>
              <w:t>家单位</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68,319,511.16</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68,319,511.16</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w:t>
            </w:r>
          </w:p>
        </w:tc>
        <w:tc>
          <w:tcPr>
            <w:tcW w:w="98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长期未收回</w:t>
            </w:r>
          </w:p>
        </w:tc>
      </w:tr>
      <w:tr w:rsidR="00403CD6">
        <w:trPr>
          <w:trHeight w:val="284"/>
        </w:trPr>
        <w:tc>
          <w:tcPr>
            <w:tcW w:w="178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0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201,074,254.68</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193,132,546.68</w:t>
            </w:r>
          </w:p>
        </w:tc>
        <w:tc>
          <w:tcPr>
            <w:tcW w:w="504" w:type="pct"/>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96.05</w:t>
            </w:r>
          </w:p>
        </w:tc>
        <w:tc>
          <w:tcPr>
            <w:tcW w:w="987"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说明：武汉市天瑞纸业有限公司虽长期未还款但未全额计提坏账原因系在业务发生时该公司已交付保证金，该部分保证</w:t>
      </w:r>
      <w:r>
        <w:rPr>
          <w:rFonts w:ascii="宋体" w:eastAsia="宋体" w:hAnsi="宋体" w:cs="宋体" w:hint="eastAsia"/>
          <w:sz w:val="18"/>
          <w:szCs w:val="18"/>
        </w:rPr>
        <w:lastRenderedPageBreak/>
        <w:t>金可抵减部分损失。</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按组合计提坏账准备：</w:t>
      </w:r>
      <w:r>
        <w:rPr>
          <w:rFonts w:ascii="Times New Roman" w:hAnsi="Times New Roman" w:cs="Times New Roman"/>
          <w:sz w:val="18"/>
          <w:szCs w:val="18"/>
        </w:rPr>
        <w:t>应收关联方客户</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2463"/>
        <w:gridCol w:w="2463"/>
        <w:gridCol w:w="2463"/>
      </w:tblGrid>
      <w:tr w:rsidR="00403CD6">
        <w:trPr>
          <w:trHeight w:val="284"/>
        </w:trPr>
        <w:tc>
          <w:tcPr>
            <w:tcW w:w="125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3750"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250" w:type="pct"/>
            <w:vMerge/>
            <w:vAlign w:val="center"/>
          </w:tcPr>
          <w:p w:rsidR="00403CD6" w:rsidRDefault="00403CD6">
            <w:pPr>
              <w:widowControl/>
              <w:rPr>
                <w:rFonts w:ascii="Times New Roman" w:eastAsia="宋体" w:hAnsi="Times New Roman" w:cs="Times New Roman"/>
                <w:sz w:val="18"/>
                <w:szCs w:val="18"/>
              </w:rPr>
            </w:pP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r>
      <w:tr w:rsidR="00403CD6">
        <w:trPr>
          <w:trHeight w:val="284"/>
        </w:trPr>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ascii="Times New Roman" w:hAnsi="Times New Roman" w:cs="Times New Roman"/>
                <w:color w:val="000000"/>
                <w:sz w:val="18"/>
                <w:szCs w:val="18"/>
              </w:rPr>
              <w:t>年以内</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1,945,551.12</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13,618.86</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0.7</w:t>
            </w:r>
            <w:r>
              <w:rPr>
                <w:rFonts w:ascii="Times New Roman" w:hAnsi="Times New Roman" w:cs="Times New Roman" w:hint="eastAsia"/>
                <w:color w:val="000000"/>
                <w:sz w:val="18"/>
                <w:szCs w:val="18"/>
              </w:rPr>
              <w:t>0</w:t>
            </w:r>
          </w:p>
        </w:tc>
      </w:tr>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1,945,551.12</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13,618.86</w:t>
            </w:r>
          </w:p>
        </w:tc>
        <w:tc>
          <w:tcPr>
            <w:tcW w:w="1250" w:type="pct"/>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0.7</w:t>
            </w:r>
            <w:r>
              <w:rPr>
                <w:rFonts w:ascii="Times New Roman" w:hAnsi="Times New Roman" w:cs="Times New Roman" w:hint="eastAsia"/>
                <w:color w:val="000000"/>
                <w:sz w:val="18"/>
                <w:szCs w:val="18"/>
              </w:rPr>
              <w:t>0</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按组合计提坏账准备：</w:t>
      </w:r>
      <w:proofErr w:type="gramStart"/>
      <w:r>
        <w:rPr>
          <w:rFonts w:ascii="Times New Roman" w:hAnsi="Times New Roman" w:cs="Times New Roman" w:hint="eastAsia"/>
          <w:sz w:val="18"/>
          <w:szCs w:val="18"/>
        </w:rPr>
        <w:t>应收非</w:t>
      </w:r>
      <w:proofErr w:type="gramEnd"/>
      <w:r>
        <w:rPr>
          <w:rFonts w:ascii="Times New Roman" w:hAnsi="Times New Roman" w:cs="Times New Roman" w:hint="eastAsia"/>
          <w:sz w:val="18"/>
          <w:szCs w:val="18"/>
        </w:rPr>
        <w:t>关联方客户</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6"/>
        <w:gridCol w:w="2603"/>
        <w:gridCol w:w="2599"/>
        <w:gridCol w:w="2325"/>
      </w:tblGrid>
      <w:tr w:rsidR="00403CD6">
        <w:trPr>
          <w:trHeight w:val="284"/>
        </w:trPr>
        <w:tc>
          <w:tcPr>
            <w:tcW w:w="118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3820"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180" w:type="pct"/>
            <w:vMerge/>
            <w:vAlign w:val="center"/>
          </w:tcPr>
          <w:p w:rsidR="00403CD6" w:rsidRDefault="00403CD6">
            <w:pPr>
              <w:widowControl/>
              <w:rPr>
                <w:rFonts w:ascii="Times New Roman" w:eastAsia="宋体" w:hAnsi="Times New Roman" w:cs="Times New Roman"/>
                <w:sz w:val="18"/>
                <w:szCs w:val="18"/>
              </w:rPr>
            </w:pPr>
          </w:p>
        </w:tc>
        <w:tc>
          <w:tcPr>
            <w:tcW w:w="132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3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118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r>
      <w:tr w:rsidR="00403CD6">
        <w:trPr>
          <w:trHeight w:val="284"/>
        </w:trPr>
        <w:tc>
          <w:tcPr>
            <w:tcW w:w="118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ascii="Times New Roman" w:hAnsi="Times New Roman" w:cs="Times New Roman"/>
                <w:color w:val="000000"/>
                <w:sz w:val="18"/>
                <w:szCs w:val="18"/>
              </w:rPr>
              <w:t>年以内</w:t>
            </w:r>
          </w:p>
        </w:tc>
        <w:tc>
          <w:tcPr>
            <w:tcW w:w="132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919,473,167.28</w:t>
            </w:r>
          </w:p>
        </w:tc>
        <w:tc>
          <w:tcPr>
            <w:tcW w:w="13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16,744,310.74</w:t>
            </w:r>
          </w:p>
        </w:tc>
        <w:tc>
          <w:tcPr>
            <w:tcW w:w="118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1.82</w:t>
            </w:r>
          </w:p>
        </w:tc>
      </w:tr>
      <w:tr w:rsidR="00403CD6">
        <w:trPr>
          <w:trHeight w:val="284"/>
        </w:trPr>
        <w:tc>
          <w:tcPr>
            <w:tcW w:w="1180"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1</w:t>
            </w:r>
            <w:r>
              <w:rPr>
                <w:rFonts w:ascii="Times New Roman" w:hAnsi="Times New Roman" w:cs="Times New Roman"/>
                <w:color w:val="000000"/>
                <w:sz w:val="18"/>
                <w:szCs w:val="18"/>
              </w:rPr>
              <w:t>至</w:t>
            </w:r>
            <w:r>
              <w:rPr>
                <w:rFonts w:ascii="Times New Roman" w:hAnsi="Times New Roman" w:cs="Times New Roman"/>
                <w:color w:val="000000"/>
                <w:sz w:val="18"/>
                <w:szCs w:val="18"/>
              </w:rPr>
              <w:t>2</w:t>
            </w:r>
            <w:r>
              <w:rPr>
                <w:rFonts w:ascii="Times New Roman" w:hAnsi="Times New Roman" w:cs="Times New Roman"/>
                <w:color w:val="000000"/>
                <w:sz w:val="18"/>
                <w:szCs w:val="18"/>
              </w:rPr>
              <w:t>年</w:t>
            </w:r>
          </w:p>
        </w:tc>
        <w:tc>
          <w:tcPr>
            <w:tcW w:w="132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172,551,830.25</w:t>
            </w:r>
          </w:p>
        </w:tc>
        <w:tc>
          <w:tcPr>
            <w:tcW w:w="131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52,058,552.58  </w:t>
            </w:r>
          </w:p>
        </w:tc>
        <w:tc>
          <w:tcPr>
            <w:tcW w:w="118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30.17</w:t>
            </w:r>
          </w:p>
        </w:tc>
      </w:tr>
      <w:tr w:rsidR="00403CD6">
        <w:trPr>
          <w:trHeight w:val="284"/>
        </w:trPr>
        <w:tc>
          <w:tcPr>
            <w:tcW w:w="1180"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2</w:t>
            </w:r>
            <w:r>
              <w:rPr>
                <w:rFonts w:ascii="Times New Roman" w:hAnsi="Times New Roman" w:cs="Times New Roman"/>
                <w:color w:val="000000"/>
                <w:sz w:val="18"/>
                <w:szCs w:val="18"/>
              </w:rPr>
              <w:t>至</w:t>
            </w:r>
            <w:r>
              <w:rPr>
                <w:rFonts w:ascii="Times New Roman" w:hAnsi="Times New Roman" w:cs="Times New Roman"/>
                <w:color w:val="000000"/>
                <w:sz w:val="18"/>
                <w:szCs w:val="18"/>
              </w:rPr>
              <w:t>3</w:t>
            </w:r>
            <w:r>
              <w:rPr>
                <w:rFonts w:ascii="Times New Roman" w:hAnsi="Times New Roman" w:cs="Times New Roman"/>
                <w:color w:val="000000"/>
                <w:sz w:val="18"/>
                <w:szCs w:val="18"/>
              </w:rPr>
              <w:t>年</w:t>
            </w:r>
          </w:p>
        </w:tc>
        <w:tc>
          <w:tcPr>
            <w:tcW w:w="132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1,766,895.77</w:t>
            </w:r>
          </w:p>
        </w:tc>
        <w:tc>
          <w:tcPr>
            <w:tcW w:w="131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893,773.39</w:t>
            </w:r>
          </w:p>
        </w:tc>
        <w:tc>
          <w:tcPr>
            <w:tcW w:w="118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50.58</w:t>
            </w:r>
          </w:p>
        </w:tc>
      </w:tr>
      <w:tr w:rsidR="00403CD6">
        <w:trPr>
          <w:trHeight w:val="284"/>
        </w:trPr>
        <w:tc>
          <w:tcPr>
            <w:tcW w:w="1180"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3</w:t>
            </w:r>
            <w:r>
              <w:rPr>
                <w:rFonts w:ascii="Times New Roman" w:hAnsi="Times New Roman" w:cs="Times New Roman"/>
                <w:color w:val="000000"/>
                <w:sz w:val="18"/>
                <w:szCs w:val="18"/>
              </w:rPr>
              <w:t>年以上</w:t>
            </w:r>
          </w:p>
        </w:tc>
        <w:tc>
          <w:tcPr>
            <w:tcW w:w="132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59,802,106.92</w:t>
            </w:r>
          </w:p>
        </w:tc>
        <w:tc>
          <w:tcPr>
            <w:tcW w:w="131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56,495,488.9</w:t>
            </w:r>
            <w:r>
              <w:rPr>
                <w:rFonts w:ascii="Times New Roman" w:hAnsi="Times New Roman" w:cs="Times New Roman" w:hint="eastAsia"/>
                <w:color w:val="000000"/>
                <w:sz w:val="18"/>
                <w:szCs w:val="18"/>
              </w:rPr>
              <w:t>8</w:t>
            </w:r>
          </w:p>
        </w:tc>
        <w:tc>
          <w:tcPr>
            <w:tcW w:w="118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94.47</w:t>
            </w:r>
          </w:p>
        </w:tc>
      </w:tr>
      <w:tr w:rsidR="00403CD6">
        <w:trPr>
          <w:trHeight w:val="284"/>
        </w:trPr>
        <w:tc>
          <w:tcPr>
            <w:tcW w:w="118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32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1,153,594,000.22</w:t>
            </w:r>
          </w:p>
        </w:tc>
        <w:tc>
          <w:tcPr>
            <w:tcW w:w="13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126,192,125.6</w:t>
            </w:r>
            <w:r>
              <w:rPr>
                <w:rFonts w:ascii="Times New Roman" w:hAnsi="Times New Roman" w:cs="Times New Roman" w:hint="eastAsia"/>
                <w:color w:val="000000"/>
                <w:sz w:val="18"/>
                <w:szCs w:val="18"/>
              </w:rPr>
              <w:t>9</w:t>
            </w:r>
          </w:p>
        </w:tc>
        <w:tc>
          <w:tcPr>
            <w:tcW w:w="1180" w:type="pct"/>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10.94</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按组合计提坏账准备：</w:t>
      </w:r>
      <w:r>
        <w:rPr>
          <w:rFonts w:ascii="Times New Roman" w:hAnsi="Times New Roman" w:cs="Times New Roman" w:hint="eastAsia"/>
          <w:sz w:val="18"/>
          <w:szCs w:val="18"/>
        </w:rPr>
        <w:t>应收</w:t>
      </w:r>
      <w:proofErr w:type="gramStart"/>
      <w:r>
        <w:rPr>
          <w:rFonts w:ascii="Times New Roman" w:hAnsi="Times New Roman" w:cs="Times New Roman" w:hint="eastAsia"/>
          <w:sz w:val="18"/>
          <w:szCs w:val="18"/>
        </w:rPr>
        <w:t>保理款</w:t>
      </w:r>
      <w:proofErr w:type="gramEnd"/>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0"/>
        <w:gridCol w:w="2465"/>
        <w:gridCol w:w="2465"/>
        <w:gridCol w:w="2463"/>
      </w:tblGrid>
      <w:tr w:rsidR="00403CD6">
        <w:trPr>
          <w:trHeight w:val="284"/>
        </w:trPr>
        <w:tc>
          <w:tcPr>
            <w:tcW w:w="124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3752"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248" w:type="pct"/>
            <w:vMerge/>
            <w:vAlign w:val="center"/>
          </w:tcPr>
          <w:p w:rsidR="00403CD6" w:rsidRDefault="00403CD6">
            <w:pPr>
              <w:widowControl/>
              <w:rPr>
                <w:rFonts w:ascii="Times New Roman" w:eastAsia="宋体" w:hAnsi="Times New Roman" w:cs="Times New Roman"/>
                <w:sz w:val="18"/>
                <w:szCs w:val="18"/>
              </w:rPr>
            </w:pPr>
          </w:p>
        </w:tc>
        <w:tc>
          <w:tcPr>
            <w:tcW w:w="12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12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r>
      <w:tr w:rsidR="00403CD6">
        <w:trPr>
          <w:trHeight w:val="284"/>
        </w:trPr>
        <w:tc>
          <w:tcPr>
            <w:tcW w:w="12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ascii="Times New Roman" w:hAnsi="Times New Roman" w:cs="Times New Roman"/>
                <w:color w:val="000000"/>
                <w:sz w:val="18"/>
                <w:szCs w:val="18"/>
              </w:rPr>
              <w:t>年以内</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7,627,397.26</w:t>
            </w:r>
            <w:r>
              <w:rPr>
                <w:rFonts w:ascii="Times New Roman" w:hAnsi="Times New Roman" w:cs="Times New Roman"/>
                <w:color w:val="000000"/>
                <w:sz w:val="18"/>
                <w:szCs w:val="18"/>
              </w:rPr>
              <w:t xml:space="preserve">　</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3,813,698.63</w:t>
            </w:r>
            <w:r>
              <w:rPr>
                <w:rFonts w:ascii="Times New Roman" w:hAnsi="Times New Roman" w:cs="Times New Roman"/>
                <w:color w:val="000000"/>
                <w:sz w:val="18"/>
                <w:szCs w:val="18"/>
              </w:rPr>
              <w:t xml:space="preserve">　</w:t>
            </w:r>
          </w:p>
        </w:tc>
        <w:tc>
          <w:tcPr>
            <w:tcW w:w="12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w:t>
            </w:r>
            <w:r>
              <w:rPr>
                <w:rFonts w:ascii="Times New Roman" w:hAnsi="Times New Roman" w:cs="Times New Roman"/>
                <w:color w:val="000000"/>
                <w:sz w:val="18"/>
                <w:szCs w:val="18"/>
              </w:rPr>
              <w:t xml:space="preserve">　</w:t>
            </w:r>
          </w:p>
        </w:tc>
      </w:tr>
      <w:tr w:rsidR="00403CD6">
        <w:trPr>
          <w:trHeight w:val="284"/>
        </w:trPr>
        <w:tc>
          <w:tcPr>
            <w:tcW w:w="1248"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1</w:t>
            </w:r>
            <w:r>
              <w:rPr>
                <w:rFonts w:ascii="Times New Roman" w:hAnsi="Times New Roman" w:cs="Times New Roman"/>
                <w:color w:val="000000"/>
                <w:sz w:val="18"/>
                <w:szCs w:val="18"/>
              </w:rPr>
              <w:t>至</w:t>
            </w:r>
            <w:r>
              <w:rPr>
                <w:rFonts w:ascii="Times New Roman" w:hAnsi="Times New Roman" w:cs="Times New Roman"/>
                <w:color w:val="000000"/>
                <w:sz w:val="18"/>
                <w:szCs w:val="18"/>
              </w:rPr>
              <w:t>2</w:t>
            </w:r>
            <w:r>
              <w:rPr>
                <w:rFonts w:ascii="Times New Roman" w:hAnsi="Times New Roman" w:cs="Times New Roman"/>
                <w:color w:val="000000"/>
                <w:sz w:val="18"/>
                <w:szCs w:val="18"/>
              </w:rPr>
              <w:t>年</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102,361,269.42</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51,777,234.71</w:t>
            </w:r>
          </w:p>
        </w:tc>
        <w:tc>
          <w:tcPr>
            <w:tcW w:w="124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50.58</w:t>
            </w:r>
          </w:p>
        </w:tc>
      </w:tr>
      <w:tr w:rsidR="00403CD6">
        <w:trPr>
          <w:trHeight w:val="284"/>
        </w:trPr>
        <w:tc>
          <w:tcPr>
            <w:tcW w:w="1248"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2</w:t>
            </w:r>
            <w:r>
              <w:rPr>
                <w:rFonts w:ascii="Times New Roman" w:hAnsi="Times New Roman" w:cs="Times New Roman"/>
                <w:color w:val="000000"/>
                <w:sz w:val="18"/>
                <w:szCs w:val="18"/>
              </w:rPr>
              <w:t>至</w:t>
            </w:r>
            <w:r>
              <w:rPr>
                <w:rFonts w:ascii="Times New Roman" w:hAnsi="Times New Roman" w:cs="Times New Roman"/>
                <w:color w:val="000000"/>
                <w:sz w:val="18"/>
                <w:szCs w:val="18"/>
              </w:rPr>
              <w:t>3</w:t>
            </w:r>
            <w:r>
              <w:rPr>
                <w:rFonts w:ascii="Times New Roman" w:hAnsi="Times New Roman" w:cs="Times New Roman"/>
                <w:color w:val="000000"/>
                <w:sz w:val="18"/>
                <w:szCs w:val="18"/>
              </w:rPr>
              <w:t>年</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350,429,869.36</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280,343,895.48</w:t>
            </w:r>
          </w:p>
        </w:tc>
        <w:tc>
          <w:tcPr>
            <w:tcW w:w="124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80.00</w:t>
            </w:r>
          </w:p>
        </w:tc>
      </w:tr>
      <w:tr w:rsidR="00403CD6">
        <w:trPr>
          <w:trHeight w:val="284"/>
        </w:trPr>
        <w:tc>
          <w:tcPr>
            <w:tcW w:w="1248"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3</w:t>
            </w:r>
            <w:r>
              <w:rPr>
                <w:rFonts w:ascii="Times New Roman" w:hAnsi="Times New Roman" w:cs="Times New Roman"/>
                <w:color w:val="000000"/>
                <w:sz w:val="18"/>
                <w:szCs w:val="18"/>
              </w:rPr>
              <w:t>年以上</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800,004,735.47</w:t>
            </w:r>
          </w:p>
        </w:tc>
        <w:tc>
          <w:tcPr>
            <w:tcW w:w="1251"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577,473,643.7</w:t>
            </w:r>
            <w:r>
              <w:rPr>
                <w:rFonts w:ascii="Times New Roman" w:hAnsi="Times New Roman" w:cs="Times New Roman" w:hint="eastAsia"/>
                <w:color w:val="000000"/>
                <w:sz w:val="18"/>
                <w:szCs w:val="18"/>
              </w:rPr>
              <w:t>8</w:t>
            </w:r>
          </w:p>
        </w:tc>
        <w:tc>
          <w:tcPr>
            <w:tcW w:w="1249"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72.18</w:t>
            </w:r>
          </w:p>
        </w:tc>
      </w:tr>
      <w:tr w:rsidR="00403CD6">
        <w:trPr>
          <w:trHeight w:val="284"/>
        </w:trPr>
        <w:tc>
          <w:tcPr>
            <w:tcW w:w="12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1,260,423,271.51</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913,408,472.60</w:t>
            </w:r>
          </w:p>
        </w:tc>
        <w:tc>
          <w:tcPr>
            <w:tcW w:w="1249" w:type="pct"/>
            <w:shd w:val="clear" w:color="auto" w:fill="D3D3D3"/>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72.47</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如是按照预期信用损失一般模型计提应收账款坏账准备：</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imes New Roman" w:hAnsi="Times New Roman" w:cs="Times New Roman"/>
          <w:sz w:val="18"/>
          <w:szCs w:val="18"/>
        </w:rPr>
        <w:sym w:font="Wingdings 2" w:char="F052"/>
      </w:r>
      <w:r>
        <w:rPr>
          <w:rFonts w:asciiTheme="minorEastAsia" w:hAnsiTheme="minorEastAsia" w:cs="Times New Roman"/>
          <w:sz w:val="18"/>
          <w:szCs w:val="18"/>
        </w:rPr>
        <w:t>不适用</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本期计提、收回或转回的坏账准备情况</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本期计提坏账准备情况：</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8"/>
        <w:gridCol w:w="1397"/>
        <w:gridCol w:w="1395"/>
        <w:gridCol w:w="1395"/>
        <w:gridCol w:w="1395"/>
        <w:gridCol w:w="1397"/>
        <w:gridCol w:w="1476"/>
      </w:tblGrid>
      <w:tr w:rsidR="00403CD6">
        <w:trPr>
          <w:trHeight w:val="284"/>
        </w:trPr>
        <w:tc>
          <w:tcPr>
            <w:tcW w:w="70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类别</w:t>
            </w:r>
          </w:p>
        </w:tc>
        <w:tc>
          <w:tcPr>
            <w:tcW w:w="70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2833"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本期变动金额</w:t>
            </w:r>
          </w:p>
        </w:tc>
        <w:tc>
          <w:tcPr>
            <w:tcW w:w="74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709" w:type="pct"/>
            <w:vMerge/>
            <w:vAlign w:val="center"/>
          </w:tcPr>
          <w:p w:rsidR="00403CD6" w:rsidRDefault="00403CD6">
            <w:pPr>
              <w:widowControl/>
              <w:rPr>
                <w:rFonts w:ascii="Times New Roman" w:eastAsia="宋体" w:hAnsi="Times New Roman" w:cs="Times New Roman"/>
                <w:sz w:val="18"/>
                <w:szCs w:val="18"/>
              </w:rPr>
            </w:pPr>
          </w:p>
        </w:tc>
        <w:tc>
          <w:tcPr>
            <w:tcW w:w="709" w:type="pct"/>
            <w:vMerge/>
            <w:vAlign w:val="center"/>
          </w:tcPr>
          <w:p w:rsidR="00403CD6" w:rsidRDefault="00403CD6">
            <w:pPr>
              <w:widowControl/>
              <w:rPr>
                <w:rFonts w:ascii="Times New Roman" w:eastAsia="宋体" w:hAnsi="Times New Roman" w:cs="Times New Roman"/>
                <w:sz w:val="18"/>
                <w:szCs w:val="18"/>
              </w:rPr>
            </w:pPr>
          </w:p>
        </w:tc>
        <w:tc>
          <w:tcPr>
            <w:tcW w:w="70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w:t>
            </w:r>
          </w:p>
        </w:tc>
        <w:tc>
          <w:tcPr>
            <w:tcW w:w="70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收回或转回</w:t>
            </w:r>
          </w:p>
        </w:tc>
        <w:tc>
          <w:tcPr>
            <w:tcW w:w="70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核销</w:t>
            </w:r>
          </w:p>
        </w:tc>
        <w:tc>
          <w:tcPr>
            <w:tcW w:w="70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49"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709"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坏账准备</w:t>
            </w:r>
          </w:p>
        </w:tc>
        <w:tc>
          <w:tcPr>
            <w:tcW w:w="70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549,070,004.48</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740,113,750.02</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1,414,900.45</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0.00</w:t>
            </w:r>
          </w:p>
        </w:tc>
        <w:tc>
          <w:tcPr>
            <w:tcW w:w="70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-3,697,187.72</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1,284,071,666.33</w:t>
            </w:r>
          </w:p>
        </w:tc>
      </w:tr>
      <w:tr w:rsidR="00403CD6">
        <w:trPr>
          <w:trHeight w:val="284"/>
        </w:trPr>
        <w:tc>
          <w:tcPr>
            <w:tcW w:w="70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70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549,070,004.48</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740,113,750.02</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1,414,900.45</w:t>
            </w:r>
          </w:p>
        </w:tc>
        <w:tc>
          <w:tcPr>
            <w:tcW w:w="70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0.00</w:t>
            </w:r>
          </w:p>
        </w:tc>
        <w:tc>
          <w:tcPr>
            <w:tcW w:w="70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-3,697,187.72</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1,284,071,666.33</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说明：“其他”中包含处置子公司减少的坏账</w:t>
      </w:r>
      <w:r>
        <w:rPr>
          <w:rFonts w:ascii="Times New Roman" w:hAnsi="Times New Roman" w:cs="Times New Roman"/>
          <w:color w:val="000000"/>
          <w:sz w:val="18"/>
          <w:szCs w:val="18"/>
        </w:rPr>
        <w:t>3,537,412.3</w:t>
      </w:r>
      <w:r>
        <w:rPr>
          <w:rFonts w:ascii="Times New Roman" w:hAnsi="Times New Roman" w:cs="Times New Roman" w:hint="eastAsia"/>
          <w:color w:val="000000"/>
          <w:sz w:val="18"/>
          <w:szCs w:val="18"/>
        </w:rPr>
        <w:t>0</w:t>
      </w:r>
      <w:r>
        <w:rPr>
          <w:rFonts w:ascii="宋体" w:eastAsia="宋体" w:hAnsi="宋体" w:cs="宋体" w:hint="eastAsia"/>
          <w:sz w:val="18"/>
          <w:szCs w:val="18"/>
        </w:rPr>
        <w:t>元，汇率变动减少的坏账</w:t>
      </w:r>
      <w:r>
        <w:rPr>
          <w:rFonts w:ascii="Times New Roman" w:hAnsi="Times New Roman" w:cs="Times New Roman"/>
          <w:color w:val="000000"/>
          <w:sz w:val="18"/>
          <w:szCs w:val="18"/>
        </w:rPr>
        <w:t>159,775.42</w:t>
      </w:r>
      <w:r>
        <w:rPr>
          <w:rFonts w:ascii="宋体" w:eastAsia="宋体" w:hAnsi="宋体" w:cs="宋体" w:hint="eastAsia"/>
          <w:sz w:val="18"/>
          <w:szCs w:val="18"/>
        </w:rPr>
        <w:t>元。</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（4） 本期实际核销的应收账款情况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403CD6">
        <w:trPr>
          <w:trHeight w:val="284"/>
        </w:trPr>
        <w:tc>
          <w:tcPr>
            <w:tcW w:w="25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5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核销金额</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实际核销的应收账款</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0.00</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lastRenderedPageBreak/>
        <w:t>（5） 按欠款方归集的期末余额前五名的应收账款和合同资产情况</w:t>
      </w:r>
    </w:p>
    <w:p w:rsidR="00403CD6" w:rsidRDefault="00E91A59">
      <w:pPr>
        <w:spacing w:before="40" w:after="40" w:line="240" w:lineRule="exact"/>
        <w:ind w:firstLineChars="200" w:firstLine="360"/>
        <w:rPr>
          <w:rFonts w:ascii="Times New Roman" w:hAnsi="Times New Roman" w:cs="Times New Roman"/>
          <w:sz w:val="18"/>
          <w:szCs w:val="18"/>
        </w:rPr>
      </w:pPr>
      <w:r>
        <w:rPr>
          <w:rFonts w:ascii="Times New Roman" w:hAnsi="Times New Roman" w:cs="Times New Roman" w:hint="eastAsia"/>
          <w:sz w:val="18"/>
          <w:szCs w:val="18"/>
        </w:rPr>
        <w:t>本期按欠款方归集的期末余额前五名应收账款和合同资产汇总金额</w:t>
      </w:r>
      <w:r>
        <w:rPr>
          <w:rFonts w:ascii="Times New Roman" w:hAnsi="Times New Roman" w:cs="Times New Roman"/>
          <w:sz w:val="18"/>
          <w:szCs w:val="18"/>
        </w:rPr>
        <w:t>1,057,672,738.56</w:t>
      </w:r>
      <w:r>
        <w:rPr>
          <w:rFonts w:ascii="Times New Roman" w:hAnsi="Times New Roman" w:cs="Times New Roman" w:hint="eastAsia"/>
          <w:sz w:val="18"/>
          <w:szCs w:val="18"/>
        </w:rPr>
        <w:t>元，占应收账款和合同资产期末余额合计数的比例</w:t>
      </w:r>
      <w:r>
        <w:rPr>
          <w:rFonts w:ascii="Times New Roman" w:hAnsi="Times New Roman" w:cs="Times New Roman" w:hint="eastAsia"/>
          <w:sz w:val="18"/>
          <w:szCs w:val="18"/>
        </w:rPr>
        <w:t>39.64%</w:t>
      </w:r>
      <w:r>
        <w:rPr>
          <w:rFonts w:ascii="Times New Roman" w:hAnsi="Times New Roman" w:cs="Times New Roman" w:hint="eastAsia"/>
          <w:sz w:val="18"/>
          <w:szCs w:val="18"/>
        </w:rPr>
        <w:t>，相应计提的坏账准备期末余额汇总金额</w:t>
      </w:r>
      <w:r>
        <w:rPr>
          <w:rFonts w:ascii="Times New Roman" w:hAnsi="Times New Roman" w:cs="Times New Roman" w:hint="eastAsia"/>
          <w:sz w:val="18"/>
          <w:szCs w:val="18"/>
        </w:rPr>
        <w:t>751,208,046.24</w:t>
      </w:r>
      <w:r>
        <w:rPr>
          <w:rFonts w:ascii="Times New Roman" w:hAnsi="Times New Roman" w:cs="Times New Roman" w:hint="eastAsia"/>
          <w:sz w:val="18"/>
          <w:szCs w:val="18"/>
        </w:rPr>
        <w:t>元。</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3"/>
        <w:gridCol w:w="2274"/>
        <w:gridCol w:w="2552"/>
        <w:gridCol w:w="2514"/>
      </w:tblGrid>
      <w:tr w:rsidR="00403CD6">
        <w:trPr>
          <w:trHeight w:val="284"/>
        </w:trPr>
        <w:tc>
          <w:tcPr>
            <w:tcW w:w="12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单位名称</w:t>
            </w:r>
          </w:p>
        </w:tc>
        <w:tc>
          <w:tcPr>
            <w:tcW w:w="115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应收账款期末余额</w:t>
            </w:r>
          </w:p>
        </w:tc>
        <w:tc>
          <w:tcPr>
            <w:tcW w:w="12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占应收账款期末余额合计数的比例（</w:t>
            </w:r>
            <w:r>
              <w:rPr>
                <w:rFonts w:hint="eastAsia"/>
                <w:color w:val="000000"/>
                <w:sz w:val="18"/>
                <w:szCs w:val="18"/>
              </w:rPr>
              <w:t>%</w:t>
            </w:r>
            <w:r>
              <w:rPr>
                <w:rFonts w:hint="eastAsia"/>
                <w:color w:val="000000"/>
                <w:sz w:val="18"/>
                <w:szCs w:val="18"/>
              </w:rPr>
              <w:t>）</w:t>
            </w:r>
          </w:p>
        </w:tc>
        <w:tc>
          <w:tcPr>
            <w:tcW w:w="127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应收账款坏账准备期末余额</w:t>
            </w:r>
          </w:p>
        </w:tc>
      </w:tr>
      <w:tr w:rsidR="00403CD6">
        <w:trPr>
          <w:trHeight w:val="284"/>
        </w:trPr>
        <w:tc>
          <w:tcPr>
            <w:tcW w:w="1275" w:type="pct"/>
            <w:vAlign w:val="center"/>
          </w:tcPr>
          <w:p w:rsidR="00403CD6" w:rsidRDefault="00E91A59">
            <w:pPr>
              <w:spacing w:line="240" w:lineRule="exact"/>
              <w:rPr>
                <w:rFonts w:ascii="Times New Roman" w:eastAsia="宋体" w:hAnsi="Times New Roman" w:cs="Times New Roman"/>
                <w:sz w:val="18"/>
                <w:szCs w:val="18"/>
              </w:rPr>
            </w:pPr>
            <w:r>
              <w:rPr>
                <w:rFonts w:ascii="宋体" w:eastAsia="宋体" w:hAnsi="宋体" w:hint="eastAsia"/>
                <w:sz w:val="18"/>
                <w:szCs w:val="18"/>
              </w:rPr>
              <w:t>客户</w:t>
            </w:r>
            <w:proofErr w:type="gramStart"/>
            <w:r>
              <w:rPr>
                <w:rFonts w:ascii="宋体" w:eastAsia="宋体" w:hAnsi="宋体" w:hint="eastAsia"/>
                <w:sz w:val="18"/>
                <w:szCs w:val="18"/>
              </w:rPr>
              <w:t>一</w:t>
            </w:r>
            <w:proofErr w:type="gramEnd"/>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481,810,233.33</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18.06</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385,448,186.65</w:t>
            </w:r>
          </w:p>
        </w:tc>
      </w:tr>
      <w:tr w:rsidR="00403CD6">
        <w:trPr>
          <w:trHeight w:val="284"/>
        </w:trPr>
        <w:tc>
          <w:tcPr>
            <w:tcW w:w="1275" w:type="pct"/>
            <w:vAlign w:val="center"/>
          </w:tcPr>
          <w:p w:rsidR="00403CD6" w:rsidRDefault="00E91A59">
            <w:pPr>
              <w:spacing w:line="240" w:lineRule="exact"/>
              <w:rPr>
                <w:rFonts w:ascii="Times New Roman" w:eastAsia="宋体" w:hAnsi="Times New Roman" w:cs="Times New Roman"/>
                <w:sz w:val="18"/>
                <w:szCs w:val="18"/>
              </w:rPr>
            </w:pPr>
            <w:r>
              <w:rPr>
                <w:rFonts w:ascii="宋体" w:eastAsia="宋体" w:hAnsi="宋体" w:hint="eastAsia"/>
                <w:sz w:val="18"/>
                <w:szCs w:val="18"/>
              </w:rPr>
              <w:t>客户二</w:t>
            </w:r>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222,656,666.64</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8.34</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178,125,333.31</w:t>
            </w:r>
          </w:p>
        </w:tc>
      </w:tr>
      <w:tr w:rsidR="00403CD6">
        <w:trPr>
          <w:trHeight w:val="284"/>
        </w:trPr>
        <w:tc>
          <w:tcPr>
            <w:tcW w:w="1275" w:type="pct"/>
            <w:vAlign w:val="center"/>
          </w:tcPr>
          <w:p w:rsidR="00403CD6" w:rsidRDefault="00E91A59">
            <w:pPr>
              <w:spacing w:line="240" w:lineRule="exact"/>
              <w:rPr>
                <w:rFonts w:ascii="Times New Roman" w:eastAsia="宋体" w:hAnsi="Times New Roman" w:cs="Times New Roman"/>
                <w:sz w:val="18"/>
                <w:szCs w:val="18"/>
              </w:rPr>
            </w:pPr>
            <w:r>
              <w:rPr>
                <w:rFonts w:ascii="宋体" w:eastAsia="宋体" w:hAnsi="宋体" w:hint="eastAsia"/>
                <w:sz w:val="18"/>
                <w:szCs w:val="18"/>
              </w:rPr>
              <w:t>客户三</w:t>
            </w:r>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123,297,505.26</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4.62</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36,107,859.62</w:t>
            </w:r>
          </w:p>
        </w:tc>
      </w:tr>
      <w:tr w:rsidR="00403CD6">
        <w:trPr>
          <w:trHeight w:val="284"/>
        </w:trPr>
        <w:tc>
          <w:tcPr>
            <w:tcW w:w="1275" w:type="pct"/>
            <w:vAlign w:val="center"/>
          </w:tcPr>
          <w:p w:rsidR="00403CD6" w:rsidRDefault="00E91A59">
            <w:pPr>
              <w:spacing w:line="240" w:lineRule="exact"/>
              <w:rPr>
                <w:rFonts w:ascii="Times New Roman" w:eastAsia="宋体" w:hAnsi="Times New Roman" w:cs="Times New Roman"/>
                <w:sz w:val="18"/>
                <w:szCs w:val="18"/>
              </w:rPr>
            </w:pPr>
            <w:r>
              <w:rPr>
                <w:rFonts w:ascii="宋体" w:eastAsia="宋体" w:hAnsi="宋体" w:hint="eastAsia"/>
                <w:sz w:val="18"/>
                <w:szCs w:val="18"/>
              </w:rPr>
              <w:t>客户四</w:t>
            </w:r>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121,908,333.33</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4.57</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97,526,666.66</w:t>
            </w:r>
          </w:p>
        </w:tc>
      </w:tr>
      <w:tr w:rsidR="00403CD6">
        <w:trPr>
          <w:trHeight w:val="284"/>
        </w:trPr>
        <w:tc>
          <w:tcPr>
            <w:tcW w:w="1275" w:type="pct"/>
            <w:vAlign w:val="center"/>
          </w:tcPr>
          <w:p w:rsidR="00403CD6" w:rsidRDefault="00E91A59">
            <w:pPr>
              <w:spacing w:line="240" w:lineRule="exact"/>
              <w:rPr>
                <w:rFonts w:ascii="Times New Roman" w:eastAsia="宋体" w:hAnsi="Times New Roman" w:cs="Times New Roman"/>
                <w:sz w:val="18"/>
                <w:szCs w:val="18"/>
              </w:rPr>
            </w:pPr>
            <w:r>
              <w:rPr>
                <w:rFonts w:ascii="宋体" w:eastAsia="宋体" w:hAnsi="宋体" w:hint="eastAsia"/>
                <w:sz w:val="18"/>
                <w:szCs w:val="18"/>
              </w:rPr>
              <w:t>客户五</w:t>
            </w:r>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108,000,000.00</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4.05</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54,000,000.00</w:t>
            </w:r>
          </w:p>
        </w:tc>
      </w:tr>
      <w:tr w:rsidR="00403CD6">
        <w:trPr>
          <w:trHeight w:val="284"/>
        </w:trPr>
        <w:tc>
          <w:tcPr>
            <w:tcW w:w="12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15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1,057,672,738.56</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39.64</w:t>
            </w:r>
          </w:p>
        </w:tc>
        <w:tc>
          <w:tcPr>
            <w:tcW w:w="12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751,208,046.24</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5、应收款项融资</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应收款项融资分类列示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项目</w:t>
            </w:r>
          </w:p>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应收票据</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100,730,797.32</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215,884,249.97</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100,730,797.32</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215,884,249.97</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说明：本公司的应收款项融资均为银行承兑汇票，鉴于银行承兑汇票的期限不超过一年，且票据背书的前后手双方均认可按票据的面值抵偿等额的应收应付账款，即公允价值等于摊余成本。</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本公司所属部分子公司视其日常资金管理的需要将一部分银行承兑汇票进行贴现和背书，故将该子公司的银行承兑汇票分类为以公允价值计量且其变动计入其他综合收益的金融资产。</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本公司无单项计提减值准备的银行承兑汇票。本期末，本公司认为所持有的银行承兑汇票不存在重大信用风险，不会因银行违约而产生重大损失。</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期末公司已背书或贴现且在资产负债表日尚未到期的应收款项融资</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项目</w:t>
            </w:r>
          </w:p>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期末终止确认金额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期末未终止确认金额</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银行承兑票据</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5,008,422,470.60</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5,008,422,470.60</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说明：用于贴现的银行承兑汇票信用风险和延期付款风险很小，并且票据相关的利率风险已转移给银行，可以判断票据所有权上的主要风险和报酬已经转移，故终止确认。</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6、其他应收款</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其他应收款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1,061,992,721.13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2,224,904,557.88</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应收股利</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22,659,149.81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1,084,651,870.94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2,224,904,557.88</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lastRenderedPageBreak/>
        <w:t>（1） 应收股利</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t>1） 应收股利分类</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89"/>
        <w:gridCol w:w="2887"/>
      </w:tblGrid>
      <w:tr w:rsidR="00403CD6">
        <w:trPr>
          <w:trHeight w:val="284"/>
        </w:trPr>
        <w:tc>
          <w:tcPr>
            <w:tcW w:w="206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项目（或被投资单位）</w:t>
            </w:r>
          </w:p>
        </w:tc>
        <w:tc>
          <w:tcPr>
            <w:tcW w:w="14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4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2069" w:type="pct"/>
            <w:vAlign w:val="center"/>
          </w:tcPr>
          <w:p w:rsidR="00403CD6" w:rsidRDefault="00E91A59">
            <w:pPr>
              <w:spacing w:line="240" w:lineRule="exact"/>
              <w:rPr>
                <w:rFonts w:ascii="Times New Roman" w:eastAsia="宋体" w:hAnsi="Times New Roman" w:cs="Times New Roman"/>
                <w:sz w:val="18"/>
                <w:szCs w:val="18"/>
              </w:rPr>
            </w:pPr>
            <w:proofErr w:type="gramStart"/>
            <w:r>
              <w:rPr>
                <w:rFonts w:ascii="Times New Roman" w:hAnsi="Times New Roman" w:cs="Times New Roman"/>
                <w:color w:val="000000"/>
                <w:sz w:val="18"/>
                <w:szCs w:val="18"/>
              </w:rPr>
              <w:t>潍坊晨创股权</w:t>
            </w:r>
            <w:proofErr w:type="gramEnd"/>
            <w:r>
              <w:rPr>
                <w:rFonts w:ascii="Times New Roman" w:hAnsi="Times New Roman" w:cs="Times New Roman"/>
                <w:color w:val="000000"/>
                <w:sz w:val="18"/>
                <w:szCs w:val="18"/>
              </w:rPr>
              <w:t>投资基金合伙企业（有限合伙）</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22,659,149.81</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069" w:type="pct"/>
            <w:vAlign w:val="center"/>
          </w:tcPr>
          <w:p w:rsidR="00403CD6" w:rsidRDefault="00E91A59">
            <w:pPr>
              <w:spacing w:line="240" w:lineRule="exact"/>
              <w:jc w:val="center"/>
              <w:rPr>
                <w:rFonts w:ascii="Times New Roman" w:eastAsia="宋体" w:hAnsi="Times New Roman" w:cs="Times New Roman"/>
                <w:sz w:val="18"/>
                <w:szCs w:val="18"/>
              </w:rPr>
            </w:pPr>
            <w:r>
              <w:rPr>
                <w:rFonts w:hint="eastAsia"/>
                <w:color w:val="000000"/>
                <w:sz w:val="18"/>
                <w:szCs w:val="18"/>
              </w:rPr>
              <w:t>小计</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22,659,149.81</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06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减：坏账准备</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06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22,659,149.81</w:t>
            </w:r>
          </w:p>
        </w:tc>
        <w:tc>
          <w:tcPr>
            <w:tcW w:w="14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其他应收款</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t>1） 其他应收款按款项性质分类情况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款项性质</w:t>
            </w:r>
          </w:p>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期末账面余额</w:t>
            </w:r>
          </w:p>
        </w:tc>
        <w:tc>
          <w:tcPr>
            <w:tcW w:w="16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期初账面余额</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往来款</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2,522,792,110.64</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2,691,372,170.61</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备用金及借款</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16,114,760.18</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27,444,170.92</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保证金、押金</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14,874,445.09</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12,578,821.54</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其他</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7,975,085.22</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3,445,072.68</w:t>
            </w:r>
          </w:p>
        </w:tc>
      </w:tr>
      <w:tr w:rsidR="00403CD6">
        <w:trPr>
          <w:trHeight w:val="284"/>
        </w:trPr>
        <w:tc>
          <w:tcPr>
            <w:tcW w:w="1667" w:type="pct"/>
            <w:vAlign w:val="center"/>
          </w:tcPr>
          <w:p w:rsidR="00403CD6" w:rsidRDefault="00E91A59">
            <w:pPr>
              <w:spacing w:line="240" w:lineRule="exact"/>
              <w:jc w:val="center"/>
              <w:rPr>
                <w:rFonts w:ascii="宋体" w:eastAsia="宋体" w:hAnsi="宋体" w:cs="宋体"/>
                <w:sz w:val="18"/>
                <w:szCs w:val="18"/>
              </w:rPr>
            </w:pPr>
            <w:r>
              <w:rPr>
                <w:rFonts w:hint="eastAsia"/>
                <w:color w:val="000000"/>
                <w:sz w:val="18"/>
                <w:szCs w:val="18"/>
              </w:rPr>
              <w:t>小计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2,561,756,401.13</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2,734,840,235.75</w:t>
            </w:r>
          </w:p>
        </w:tc>
      </w:tr>
      <w:tr w:rsidR="00403CD6">
        <w:trPr>
          <w:trHeight w:val="284"/>
        </w:trPr>
        <w:tc>
          <w:tcPr>
            <w:tcW w:w="1667"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减：坏账准备</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1,499,763,680.00</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509,935,677.87</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1667"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1,061,992,721.13</w:t>
            </w:r>
          </w:p>
        </w:tc>
        <w:tc>
          <w:tcPr>
            <w:tcW w:w="1666"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2,224,904,557.88</w:t>
            </w:r>
          </w:p>
        </w:tc>
      </w:tr>
    </w:tbl>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t xml:space="preserve">2） </w:t>
      </w:r>
      <w:proofErr w:type="gramStart"/>
      <w:r>
        <w:rPr>
          <w:rFonts w:ascii="宋体" w:eastAsia="宋体" w:hAnsi="宋体" w:cs="宋体" w:hint="eastAsia"/>
          <w:b/>
          <w:bCs/>
          <w:szCs w:val="21"/>
        </w:rPr>
        <w:t>按账龄</w:t>
      </w:r>
      <w:proofErr w:type="gramEnd"/>
      <w:r>
        <w:rPr>
          <w:rFonts w:ascii="宋体" w:eastAsia="宋体" w:hAnsi="宋体" w:cs="宋体" w:hint="eastAsia"/>
          <w:b/>
          <w:bCs/>
          <w:szCs w:val="21"/>
        </w:rPr>
        <w:t>披露</w:t>
      </w:r>
    </w:p>
    <w:p w:rsidR="00403CD6" w:rsidRDefault="00E91A59">
      <w:pPr>
        <w:spacing w:before="120" w:after="12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账龄</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期末账面余额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期初账面余额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cs="Times New Roman" w:hint="eastAsia"/>
                <w:color w:val="000000"/>
                <w:sz w:val="18"/>
                <w:szCs w:val="18"/>
              </w:rPr>
              <w:t>年以内（含</w:t>
            </w:r>
            <w:r>
              <w:rPr>
                <w:rFonts w:ascii="Times New Roman" w:hAnsi="Times New Roman" w:cs="Times New Roman"/>
                <w:color w:val="000000"/>
                <w:sz w:val="18"/>
                <w:szCs w:val="18"/>
              </w:rPr>
              <w:t>1</w:t>
            </w:r>
            <w:r>
              <w:rPr>
                <w:rFonts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680,590,285.93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1,052,737,595.00</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cs="Times New Roman" w:hint="eastAsia"/>
                <w:color w:val="000000"/>
                <w:sz w:val="18"/>
                <w:szCs w:val="18"/>
              </w:rPr>
              <w:t>至</w:t>
            </w:r>
            <w:r>
              <w:rPr>
                <w:rFonts w:ascii="Times New Roman" w:hAnsi="Times New Roman" w:cs="Times New Roman"/>
                <w:color w:val="000000"/>
                <w:sz w:val="18"/>
                <w:szCs w:val="18"/>
              </w:rPr>
              <w:t>2</w:t>
            </w:r>
            <w:r>
              <w:rPr>
                <w:rFonts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409,320,986.47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291,207,253.53</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w:t>
            </w:r>
            <w:r>
              <w:rPr>
                <w:rFonts w:cs="Times New Roman" w:hint="eastAsia"/>
                <w:color w:val="000000"/>
                <w:sz w:val="18"/>
                <w:szCs w:val="18"/>
              </w:rPr>
              <w:t>至</w:t>
            </w:r>
            <w:r>
              <w:rPr>
                <w:rFonts w:ascii="Times New Roman" w:hAnsi="Times New Roman" w:cs="Times New Roman"/>
                <w:color w:val="000000"/>
                <w:sz w:val="18"/>
                <w:szCs w:val="18"/>
              </w:rPr>
              <w:t>3</w:t>
            </w:r>
            <w:r>
              <w:rPr>
                <w:rFonts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198,957,834.50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204,348,508.24</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3</w:t>
            </w:r>
            <w:r>
              <w:rPr>
                <w:rFonts w:cs="Times New Roman" w:hint="eastAsia"/>
                <w:color w:val="000000"/>
                <w:sz w:val="18"/>
                <w:szCs w:val="18"/>
              </w:rPr>
              <w:t>年以上</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1,272,887,294.23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1,186,546,878.98</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小计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2,561,756,401.13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2,734,840,235.75</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减：坏账准备</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1,499,763,680.00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509,935,677.87</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1,061,992,721.13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2,224,904,557.88</w:t>
            </w:r>
          </w:p>
        </w:tc>
      </w:tr>
    </w:tbl>
    <w:p w:rsidR="00403CD6" w:rsidRDefault="00E91A59">
      <w:pPr>
        <w:widowControl/>
        <w:ind w:firstLineChars="200" w:firstLine="360"/>
        <w:rPr>
          <w:rFonts w:ascii="Times New Roman" w:eastAsia="宋体" w:hAnsi="Times New Roman" w:cs="Times New Roman"/>
          <w:kern w:val="0"/>
          <w:sz w:val="18"/>
          <w:szCs w:val="18"/>
        </w:rPr>
      </w:pPr>
      <w:r>
        <w:rPr>
          <w:rFonts w:ascii="Times New Roman" w:eastAsia="宋体" w:hAnsi="Times New Roman" w:cs="Times New Roman"/>
          <w:kern w:val="0"/>
          <w:sz w:val="18"/>
          <w:szCs w:val="18"/>
        </w:rPr>
        <w:t>账龄分析所采用的</w:t>
      </w:r>
      <w:proofErr w:type="gramStart"/>
      <w:r>
        <w:rPr>
          <w:rFonts w:ascii="Times New Roman" w:eastAsia="宋体" w:hAnsi="Times New Roman" w:cs="Times New Roman"/>
          <w:kern w:val="0"/>
          <w:sz w:val="18"/>
          <w:szCs w:val="18"/>
        </w:rPr>
        <w:t>的</w:t>
      </w:r>
      <w:proofErr w:type="gramEnd"/>
      <w:r>
        <w:rPr>
          <w:rFonts w:ascii="Times New Roman" w:eastAsia="宋体" w:hAnsi="Times New Roman" w:cs="Times New Roman"/>
          <w:kern w:val="0"/>
          <w:sz w:val="18"/>
          <w:szCs w:val="18"/>
        </w:rPr>
        <w:t>基准是：其他</w:t>
      </w:r>
      <w:proofErr w:type="gramStart"/>
      <w:r>
        <w:rPr>
          <w:rFonts w:ascii="Times New Roman" w:eastAsia="宋体" w:hAnsi="Times New Roman" w:cs="Times New Roman"/>
          <w:kern w:val="0"/>
          <w:sz w:val="18"/>
          <w:szCs w:val="18"/>
        </w:rPr>
        <w:t>应收款账龄</w:t>
      </w:r>
      <w:proofErr w:type="gramEnd"/>
      <w:r>
        <w:rPr>
          <w:rFonts w:ascii="Times New Roman" w:eastAsia="宋体" w:hAnsi="Times New Roman" w:cs="Times New Roman"/>
          <w:kern w:val="0"/>
          <w:sz w:val="18"/>
          <w:szCs w:val="18"/>
        </w:rPr>
        <w:t>是指公司尚未收回的其他应收款的时间长度，以发票开具时间作为基准，把期末余额从期末开始逐笔往前确认，划分为</w:t>
      </w:r>
      <w:r>
        <w:rPr>
          <w:rFonts w:ascii="Times New Roman" w:eastAsia="宋体" w:hAnsi="Times New Roman" w:cs="Times New Roman"/>
          <w:kern w:val="0"/>
          <w:sz w:val="18"/>
          <w:szCs w:val="18"/>
        </w:rPr>
        <w:t>1</w:t>
      </w:r>
      <w:r>
        <w:rPr>
          <w:rFonts w:ascii="Times New Roman" w:eastAsia="宋体" w:hAnsi="Times New Roman" w:cs="Times New Roman"/>
          <w:kern w:val="0"/>
          <w:sz w:val="18"/>
          <w:szCs w:val="18"/>
        </w:rPr>
        <w:t>年以内，</w:t>
      </w:r>
      <w:r>
        <w:rPr>
          <w:rFonts w:ascii="Times New Roman" w:eastAsia="宋体" w:hAnsi="Times New Roman" w:cs="Times New Roman"/>
          <w:kern w:val="0"/>
          <w:sz w:val="18"/>
          <w:szCs w:val="18"/>
        </w:rPr>
        <w:t>1-2</w:t>
      </w:r>
      <w:r>
        <w:rPr>
          <w:rFonts w:ascii="Times New Roman" w:eastAsia="宋体" w:hAnsi="Times New Roman" w:cs="Times New Roman"/>
          <w:kern w:val="0"/>
          <w:sz w:val="18"/>
          <w:szCs w:val="18"/>
        </w:rPr>
        <w:t>年，</w:t>
      </w:r>
      <w:r>
        <w:rPr>
          <w:rFonts w:ascii="Times New Roman" w:eastAsia="宋体" w:hAnsi="Times New Roman" w:cs="Times New Roman"/>
          <w:kern w:val="0"/>
          <w:sz w:val="18"/>
          <w:szCs w:val="18"/>
        </w:rPr>
        <w:t>2-3</w:t>
      </w:r>
      <w:r>
        <w:rPr>
          <w:rFonts w:ascii="Times New Roman" w:eastAsia="宋体" w:hAnsi="Times New Roman" w:cs="Times New Roman"/>
          <w:kern w:val="0"/>
          <w:sz w:val="18"/>
          <w:szCs w:val="18"/>
        </w:rPr>
        <w:t>年，</w:t>
      </w:r>
      <w:r>
        <w:rPr>
          <w:rFonts w:ascii="Times New Roman" w:eastAsia="宋体" w:hAnsi="Times New Roman" w:cs="Times New Roman"/>
          <w:kern w:val="0"/>
          <w:sz w:val="18"/>
          <w:szCs w:val="18"/>
        </w:rPr>
        <w:t>3</w:t>
      </w:r>
      <w:r>
        <w:rPr>
          <w:rFonts w:ascii="Times New Roman" w:eastAsia="宋体" w:hAnsi="Times New Roman" w:cs="Times New Roman"/>
          <w:kern w:val="0"/>
          <w:sz w:val="18"/>
          <w:szCs w:val="18"/>
        </w:rPr>
        <w:t>年以上，一直确认</w:t>
      </w:r>
      <w:proofErr w:type="gramStart"/>
      <w:r>
        <w:rPr>
          <w:rFonts w:ascii="Times New Roman" w:eastAsia="宋体" w:hAnsi="Times New Roman" w:cs="Times New Roman"/>
          <w:kern w:val="0"/>
          <w:sz w:val="18"/>
          <w:szCs w:val="18"/>
        </w:rPr>
        <w:t>到金额</w:t>
      </w:r>
      <w:proofErr w:type="gramEnd"/>
      <w:r>
        <w:rPr>
          <w:rFonts w:ascii="Times New Roman" w:eastAsia="宋体" w:hAnsi="Times New Roman" w:cs="Times New Roman"/>
          <w:kern w:val="0"/>
          <w:sz w:val="18"/>
          <w:szCs w:val="18"/>
        </w:rPr>
        <w:t>达到余额数。</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lastRenderedPageBreak/>
        <w:t>3） 坏账准备计提情况</w:t>
      </w:r>
    </w:p>
    <w:p w:rsidR="00403CD6" w:rsidRDefault="00E91A59">
      <w:pPr>
        <w:keepNext/>
        <w:keepLines/>
        <w:spacing w:line="28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发生下列情形中的一种或多种时，则属于</w:t>
      </w:r>
      <w:r>
        <w:rPr>
          <w:rFonts w:ascii="Times New Roman" w:eastAsia="宋体" w:hAnsi="Times New Roman" w:cs="Times New Roman"/>
          <w:sz w:val="18"/>
          <w:szCs w:val="18"/>
        </w:rPr>
        <w:t>“</w:t>
      </w:r>
      <w:r>
        <w:rPr>
          <w:rFonts w:ascii="Times New Roman" w:eastAsia="宋体" w:hAnsi="Times New Roman" w:cs="Times New Roman"/>
          <w:sz w:val="18"/>
          <w:szCs w:val="18"/>
        </w:rPr>
        <w:t>自初始确认后信用风险显著增加</w:t>
      </w:r>
      <w:r>
        <w:rPr>
          <w:rFonts w:ascii="Times New Roman" w:eastAsia="宋体" w:hAnsi="Times New Roman" w:cs="Times New Roman"/>
          <w:sz w:val="18"/>
          <w:szCs w:val="18"/>
        </w:rPr>
        <w:t>”</w:t>
      </w:r>
      <w:r>
        <w:rPr>
          <w:rFonts w:ascii="Times New Roman" w:eastAsia="宋体" w:hAnsi="Times New Roman" w:cs="Times New Roman"/>
          <w:sz w:val="18"/>
          <w:szCs w:val="18"/>
        </w:rPr>
        <w:t>，划分为第二阶段：款项逾期超过</w:t>
      </w:r>
      <w:r>
        <w:rPr>
          <w:rFonts w:ascii="Times New Roman" w:eastAsia="宋体" w:hAnsi="Times New Roman" w:cs="Times New Roman"/>
          <w:sz w:val="18"/>
          <w:szCs w:val="18"/>
        </w:rPr>
        <w:t xml:space="preserve">30 </w:t>
      </w:r>
      <w:r>
        <w:rPr>
          <w:rFonts w:ascii="Times New Roman" w:eastAsia="宋体" w:hAnsi="Times New Roman" w:cs="Times New Roman"/>
          <w:sz w:val="18"/>
          <w:szCs w:val="18"/>
        </w:rPr>
        <w:t>天但未超过</w:t>
      </w:r>
      <w:r>
        <w:rPr>
          <w:rFonts w:ascii="Times New Roman" w:eastAsia="宋体" w:hAnsi="Times New Roman" w:cs="Times New Roman"/>
          <w:sz w:val="18"/>
          <w:szCs w:val="18"/>
        </w:rPr>
        <w:t xml:space="preserve">90 </w:t>
      </w:r>
      <w:r>
        <w:rPr>
          <w:rFonts w:ascii="Times New Roman" w:eastAsia="宋体" w:hAnsi="Times New Roman" w:cs="Times New Roman"/>
          <w:sz w:val="18"/>
          <w:szCs w:val="18"/>
        </w:rPr>
        <w:t>天；欠款方发生影响其偿付能力的负面事件；担保物价值或第三方提供的担保或信用增级质量的显著不利变化。</w:t>
      </w:r>
    </w:p>
    <w:p w:rsidR="00403CD6" w:rsidRDefault="00E91A59">
      <w:pPr>
        <w:keepNext/>
        <w:keepLines/>
        <w:spacing w:line="28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发生下列情形中的一种或多种时，则属于</w:t>
      </w:r>
      <w:r>
        <w:rPr>
          <w:rFonts w:ascii="Times New Roman" w:eastAsia="宋体" w:hAnsi="Times New Roman" w:cs="Times New Roman"/>
          <w:sz w:val="18"/>
          <w:szCs w:val="18"/>
        </w:rPr>
        <w:t>“</w:t>
      </w:r>
      <w:r>
        <w:rPr>
          <w:rFonts w:ascii="Times New Roman" w:eastAsia="宋体" w:hAnsi="Times New Roman" w:cs="Times New Roman"/>
          <w:sz w:val="18"/>
          <w:szCs w:val="18"/>
        </w:rPr>
        <w:t>已发生信用减值</w:t>
      </w:r>
      <w:r>
        <w:rPr>
          <w:rFonts w:ascii="Times New Roman" w:eastAsia="宋体" w:hAnsi="Times New Roman" w:cs="Times New Roman"/>
          <w:sz w:val="18"/>
          <w:szCs w:val="18"/>
        </w:rPr>
        <w:t>”</w:t>
      </w:r>
      <w:r>
        <w:rPr>
          <w:rFonts w:ascii="Times New Roman" w:eastAsia="宋体" w:hAnsi="Times New Roman" w:cs="Times New Roman"/>
          <w:sz w:val="18"/>
          <w:szCs w:val="18"/>
        </w:rPr>
        <w:t>，划分为第三阶段：款项逾期超过</w:t>
      </w:r>
      <w:r>
        <w:rPr>
          <w:rFonts w:ascii="Times New Roman" w:eastAsia="宋体" w:hAnsi="Times New Roman" w:cs="Times New Roman"/>
          <w:sz w:val="18"/>
          <w:szCs w:val="18"/>
        </w:rPr>
        <w:t xml:space="preserve">90 </w:t>
      </w:r>
      <w:r>
        <w:rPr>
          <w:rFonts w:ascii="Times New Roman" w:eastAsia="宋体" w:hAnsi="Times New Roman" w:cs="Times New Roman"/>
          <w:sz w:val="18"/>
          <w:szCs w:val="18"/>
        </w:rPr>
        <w:t>天；欠款方发生重大财务困难，或很可能破产或进行其他财务重组；其他违反合同约定</w:t>
      </w:r>
      <w:proofErr w:type="gramStart"/>
      <w:r>
        <w:rPr>
          <w:rFonts w:ascii="Times New Roman" w:eastAsia="宋体" w:hAnsi="Times New Roman" w:cs="Times New Roman"/>
          <w:sz w:val="18"/>
          <w:szCs w:val="18"/>
        </w:rPr>
        <w:t>且表明</w:t>
      </w:r>
      <w:proofErr w:type="gramEnd"/>
      <w:r>
        <w:rPr>
          <w:rFonts w:ascii="Times New Roman" w:eastAsia="宋体" w:hAnsi="Times New Roman" w:cs="Times New Roman"/>
          <w:sz w:val="18"/>
          <w:szCs w:val="18"/>
        </w:rPr>
        <w:t>金融资产已存在客观减值证据的情形。</w:t>
      </w:r>
    </w:p>
    <w:p w:rsidR="00403CD6" w:rsidRDefault="00E91A59">
      <w:pPr>
        <w:snapToGrid w:val="0"/>
        <w:spacing w:beforeLines="50" w:before="156" w:afterLines="90" w:after="280"/>
        <w:rPr>
          <w:rFonts w:ascii="Times New Roman" w:hAnsi="Times New Roman" w:cs="Times New Roman"/>
          <w:sz w:val="18"/>
          <w:szCs w:val="18"/>
        </w:rPr>
      </w:pPr>
      <w:r>
        <w:rPr>
          <w:rFonts w:ascii="Times New Roman" w:hAnsi="Times New Roman" w:cs="Times New Roman"/>
          <w:sz w:val="18"/>
          <w:szCs w:val="18"/>
        </w:rPr>
        <w:t>期末，处于第一阶段的坏账准备：</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3"/>
        <w:gridCol w:w="1886"/>
        <w:gridCol w:w="1886"/>
        <w:gridCol w:w="1740"/>
        <w:gridCol w:w="1498"/>
        <w:gridCol w:w="670"/>
      </w:tblGrid>
      <w:tr w:rsidR="00403CD6">
        <w:trPr>
          <w:trHeight w:val="284"/>
        </w:trPr>
        <w:tc>
          <w:tcPr>
            <w:tcW w:w="1103"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类别</w:t>
            </w:r>
          </w:p>
        </w:tc>
        <w:tc>
          <w:tcPr>
            <w:tcW w:w="957"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账面余额</w:t>
            </w:r>
          </w:p>
        </w:tc>
        <w:tc>
          <w:tcPr>
            <w:tcW w:w="957"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未来</w:t>
            </w:r>
            <w:r>
              <w:rPr>
                <w:rFonts w:ascii="Times New Roman" w:hAnsi="Times New Roman" w:cs="Times New Roman"/>
                <w:sz w:val="18"/>
                <w:szCs w:val="18"/>
              </w:rPr>
              <w:t>12</w:t>
            </w:r>
            <w:r>
              <w:rPr>
                <w:rFonts w:ascii="Times New Roman" w:hAnsi="Times New Roman" w:cs="Times New Roman"/>
                <w:sz w:val="18"/>
                <w:szCs w:val="18"/>
              </w:rPr>
              <w:t>个月内的预期信用损失率</w:t>
            </w:r>
            <w:r>
              <w:rPr>
                <w:rFonts w:ascii="Times New Roman" w:hAnsi="Times New Roman" w:cs="Times New Roman" w:hint="eastAsia"/>
                <w:sz w:val="18"/>
                <w:szCs w:val="18"/>
              </w:rPr>
              <w:t>（</w:t>
            </w:r>
            <w:r>
              <w:rPr>
                <w:rFonts w:ascii="Times New Roman" w:hAnsi="Times New Roman" w:cs="Times New Roman" w:hint="eastAsia"/>
                <w:sz w:val="18"/>
                <w:szCs w:val="18"/>
              </w:rPr>
              <w:t>%</w:t>
            </w:r>
            <w:r>
              <w:rPr>
                <w:rFonts w:ascii="Times New Roman" w:hAnsi="Times New Roman" w:cs="Times New Roman" w:hint="eastAsia"/>
                <w:sz w:val="18"/>
                <w:szCs w:val="18"/>
              </w:rPr>
              <w:t>）</w:t>
            </w:r>
          </w:p>
        </w:tc>
        <w:tc>
          <w:tcPr>
            <w:tcW w:w="883"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坏账准备</w:t>
            </w:r>
          </w:p>
        </w:tc>
        <w:tc>
          <w:tcPr>
            <w:tcW w:w="760"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账面价值</w:t>
            </w:r>
          </w:p>
        </w:tc>
        <w:tc>
          <w:tcPr>
            <w:tcW w:w="340"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理由</w:t>
            </w:r>
          </w:p>
        </w:tc>
      </w:tr>
      <w:tr w:rsidR="00403CD6">
        <w:trPr>
          <w:trHeight w:val="284"/>
        </w:trPr>
        <w:tc>
          <w:tcPr>
            <w:tcW w:w="1103" w:type="pct"/>
            <w:shd w:val="clear" w:color="auto" w:fill="auto"/>
            <w:vAlign w:val="center"/>
          </w:tcPr>
          <w:p w:rsidR="00403CD6" w:rsidRDefault="00E91A59">
            <w:pPr>
              <w:jc w:val="both"/>
              <w:rPr>
                <w:rFonts w:ascii="宋体" w:eastAsia="宋体" w:hAnsi="宋体" w:cs="Times New Roman"/>
                <w:sz w:val="18"/>
                <w:szCs w:val="18"/>
              </w:rPr>
            </w:pPr>
            <w:r>
              <w:rPr>
                <w:rFonts w:hint="eastAsia"/>
                <w:color w:val="000000"/>
                <w:sz w:val="18"/>
                <w:szCs w:val="18"/>
              </w:rPr>
              <w:t>按组合计提坏账准备</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474,324,711.81</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11.91</w:t>
            </w:r>
          </w:p>
        </w:tc>
        <w:tc>
          <w:tcPr>
            <w:tcW w:w="883"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56,487,807.03</w:t>
            </w:r>
          </w:p>
        </w:tc>
        <w:tc>
          <w:tcPr>
            <w:tcW w:w="76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417,836,904.78</w:t>
            </w:r>
          </w:p>
        </w:tc>
        <w:tc>
          <w:tcPr>
            <w:tcW w:w="340" w:type="pct"/>
            <w:vAlign w:val="center"/>
          </w:tcPr>
          <w:p w:rsidR="00403CD6" w:rsidRDefault="00403CD6">
            <w:pPr>
              <w:widowControl/>
              <w:jc w:val="right"/>
              <w:rPr>
                <w:rFonts w:ascii="Times New Roman" w:hAnsi="Times New Roman" w:cs="Times New Roman"/>
                <w:kern w:val="0"/>
                <w:sz w:val="18"/>
                <w:szCs w:val="18"/>
              </w:rPr>
            </w:pPr>
          </w:p>
        </w:tc>
      </w:tr>
      <w:tr w:rsidR="00403CD6">
        <w:trPr>
          <w:trHeight w:val="284"/>
        </w:trPr>
        <w:tc>
          <w:tcPr>
            <w:tcW w:w="1103" w:type="pct"/>
            <w:shd w:val="clear" w:color="auto" w:fill="auto"/>
            <w:vAlign w:val="center"/>
          </w:tcPr>
          <w:p w:rsidR="00403CD6" w:rsidRDefault="00E91A59">
            <w:pPr>
              <w:jc w:val="both"/>
              <w:rPr>
                <w:rFonts w:ascii="宋体" w:eastAsia="宋体" w:hAnsi="宋体" w:cs="Times New Roman"/>
                <w:sz w:val="18"/>
                <w:szCs w:val="18"/>
              </w:rPr>
            </w:pPr>
            <w:r>
              <w:rPr>
                <w:rFonts w:hint="eastAsia"/>
                <w:color w:val="000000"/>
                <w:sz w:val="18"/>
                <w:szCs w:val="18"/>
              </w:rPr>
              <w:t>应收政府机关款项</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8,929,150.60</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8.25</w:t>
            </w:r>
          </w:p>
        </w:tc>
        <w:tc>
          <w:tcPr>
            <w:tcW w:w="883"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736,883.39</w:t>
            </w:r>
          </w:p>
        </w:tc>
        <w:tc>
          <w:tcPr>
            <w:tcW w:w="76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8,192,267.21</w:t>
            </w:r>
          </w:p>
        </w:tc>
        <w:tc>
          <w:tcPr>
            <w:tcW w:w="340" w:type="pct"/>
            <w:vAlign w:val="center"/>
          </w:tcPr>
          <w:p w:rsidR="00403CD6" w:rsidRDefault="00403CD6">
            <w:pPr>
              <w:widowControl/>
              <w:jc w:val="right"/>
              <w:rPr>
                <w:rFonts w:ascii="Times New Roman" w:hAnsi="Times New Roman" w:cs="Times New Roman"/>
                <w:kern w:val="0"/>
                <w:sz w:val="18"/>
                <w:szCs w:val="18"/>
              </w:rPr>
            </w:pPr>
          </w:p>
        </w:tc>
      </w:tr>
      <w:tr w:rsidR="00403CD6">
        <w:trPr>
          <w:trHeight w:val="284"/>
        </w:trPr>
        <w:tc>
          <w:tcPr>
            <w:tcW w:w="1103" w:type="pct"/>
            <w:shd w:val="clear" w:color="auto" w:fill="auto"/>
            <w:vAlign w:val="center"/>
          </w:tcPr>
          <w:p w:rsidR="00403CD6" w:rsidRDefault="00E91A59">
            <w:pPr>
              <w:jc w:val="both"/>
              <w:rPr>
                <w:rFonts w:ascii="宋体" w:eastAsia="宋体" w:hAnsi="宋体" w:cs="Times New Roman"/>
                <w:sz w:val="18"/>
                <w:szCs w:val="18"/>
              </w:rPr>
            </w:pPr>
            <w:r>
              <w:rPr>
                <w:rFonts w:hint="eastAsia"/>
                <w:color w:val="000000"/>
                <w:sz w:val="18"/>
                <w:szCs w:val="18"/>
              </w:rPr>
              <w:t>应收关联方款项</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328,692,310.16</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9.51</w:t>
            </w:r>
          </w:p>
        </w:tc>
        <w:tc>
          <w:tcPr>
            <w:tcW w:w="883"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31,260,068.90</w:t>
            </w:r>
          </w:p>
        </w:tc>
        <w:tc>
          <w:tcPr>
            <w:tcW w:w="76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297,432,241.26</w:t>
            </w:r>
          </w:p>
        </w:tc>
        <w:tc>
          <w:tcPr>
            <w:tcW w:w="340" w:type="pct"/>
            <w:vAlign w:val="center"/>
          </w:tcPr>
          <w:p w:rsidR="00403CD6" w:rsidRDefault="00403CD6">
            <w:pPr>
              <w:widowControl/>
              <w:jc w:val="right"/>
              <w:rPr>
                <w:rFonts w:ascii="Times New Roman" w:hAnsi="Times New Roman" w:cs="Times New Roman"/>
                <w:kern w:val="0"/>
                <w:sz w:val="18"/>
                <w:szCs w:val="18"/>
              </w:rPr>
            </w:pPr>
          </w:p>
        </w:tc>
      </w:tr>
      <w:tr w:rsidR="00403CD6">
        <w:trPr>
          <w:trHeight w:val="284"/>
        </w:trPr>
        <w:tc>
          <w:tcPr>
            <w:tcW w:w="1103" w:type="pct"/>
            <w:shd w:val="clear" w:color="auto" w:fill="auto"/>
            <w:vAlign w:val="center"/>
          </w:tcPr>
          <w:p w:rsidR="00403CD6" w:rsidRDefault="00E91A59">
            <w:pPr>
              <w:jc w:val="both"/>
              <w:rPr>
                <w:rFonts w:ascii="宋体" w:eastAsia="宋体" w:hAnsi="宋体" w:cs="Times New Roman"/>
                <w:sz w:val="18"/>
                <w:szCs w:val="18"/>
              </w:rPr>
            </w:pPr>
            <w:r>
              <w:rPr>
                <w:rFonts w:hint="eastAsia"/>
                <w:color w:val="000000"/>
                <w:sz w:val="18"/>
                <w:szCs w:val="18"/>
              </w:rPr>
              <w:t>应收其他款项</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136,703,251.05</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17.92</w:t>
            </w:r>
          </w:p>
        </w:tc>
        <w:tc>
          <w:tcPr>
            <w:tcW w:w="883"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24,490,854.74</w:t>
            </w:r>
          </w:p>
        </w:tc>
        <w:tc>
          <w:tcPr>
            <w:tcW w:w="76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112,212,396.31</w:t>
            </w:r>
          </w:p>
        </w:tc>
        <w:tc>
          <w:tcPr>
            <w:tcW w:w="340" w:type="pct"/>
            <w:vAlign w:val="center"/>
          </w:tcPr>
          <w:p w:rsidR="00403CD6" w:rsidRDefault="00403CD6">
            <w:pPr>
              <w:widowControl/>
              <w:jc w:val="right"/>
              <w:rPr>
                <w:rFonts w:ascii="Times New Roman" w:hAnsi="Times New Roman" w:cs="Times New Roman"/>
                <w:kern w:val="0"/>
                <w:sz w:val="18"/>
                <w:szCs w:val="18"/>
              </w:rPr>
            </w:pPr>
          </w:p>
        </w:tc>
      </w:tr>
      <w:tr w:rsidR="00403CD6">
        <w:trPr>
          <w:trHeight w:val="284"/>
        </w:trPr>
        <w:tc>
          <w:tcPr>
            <w:tcW w:w="1103" w:type="pct"/>
            <w:shd w:val="clear" w:color="auto" w:fill="D9D9D9"/>
            <w:vAlign w:val="center"/>
          </w:tcPr>
          <w:p w:rsidR="00403CD6" w:rsidRDefault="00E91A59">
            <w:pPr>
              <w:jc w:val="center"/>
              <w:rPr>
                <w:rFonts w:ascii="宋体" w:eastAsia="宋体" w:hAnsi="宋体" w:cs="Times New Roman"/>
                <w:sz w:val="18"/>
                <w:szCs w:val="18"/>
              </w:rPr>
            </w:pPr>
            <w:r>
              <w:rPr>
                <w:rFonts w:ascii="宋体" w:eastAsia="宋体" w:hAnsi="宋体" w:hint="eastAsia"/>
                <w:sz w:val="18"/>
                <w:szCs w:val="18"/>
              </w:rPr>
              <w:t>合计</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474,324,711.81</w:t>
            </w:r>
          </w:p>
        </w:tc>
        <w:tc>
          <w:tcPr>
            <w:tcW w:w="95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11</w:t>
            </w:r>
            <w:r>
              <w:rPr>
                <w:rFonts w:ascii="Times New Roman" w:hAnsi="Times New Roman" w:cs="Times New Roman" w:hint="eastAsia"/>
                <w:color w:val="000000"/>
                <w:sz w:val="18"/>
                <w:szCs w:val="18"/>
              </w:rPr>
              <w:t>.</w:t>
            </w:r>
            <w:r>
              <w:rPr>
                <w:rFonts w:ascii="Times New Roman" w:hAnsi="Times New Roman" w:cs="Times New Roman"/>
                <w:color w:val="000000"/>
                <w:sz w:val="18"/>
                <w:szCs w:val="18"/>
              </w:rPr>
              <w:t>91</w:t>
            </w:r>
          </w:p>
        </w:tc>
        <w:tc>
          <w:tcPr>
            <w:tcW w:w="883"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56,487,807.03</w:t>
            </w:r>
          </w:p>
        </w:tc>
        <w:tc>
          <w:tcPr>
            <w:tcW w:w="76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417,836,904.78</w:t>
            </w:r>
          </w:p>
        </w:tc>
        <w:tc>
          <w:tcPr>
            <w:tcW w:w="340" w:type="pct"/>
            <w:vAlign w:val="center"/>
          </w:tcPr>
          <w:p w:rsidR="00403CD6" w:rsidRDefault="00403CD6">
            <w:pPr>
              <w:widowControl/>
              <w:jc w:val="right"/>
              <w:rPr>
                <w:rFonts w:ascii="Times New Roman" w:hAnsi="Times New Roman" w:cs="Times New Roman"/>
                <w:b/>
                <w:bCs/>
                <w:kern w:val="0"/>
                <w:sz w:val="18"/>
                <w:szCs w:val="18"/>
              </w:rPr>
            </w:pPr>
          </w:p>
        </w:tc>
      </w:tr>
    </w:tbl>
    <w:p w:rsidR="00403CD6" w:rsidRDefault="00403CD6">
      <w:pPr>
        <w:keepNext/>
        <w:keepLines/>
        <w:spacing w:line="280" w:lineRule="exact"/>
        <w:ind w:firstLineChars="200" w:firstLine="360"/>
        <w:rPr>
          <w:rFonts w:ascii="宋体" w:eastAsia="宋体" w:hAnsi="宋体" w:cs="Times New Roman"/>
          <w:sz w:val="18"/>
          <w:szCs w:val="18"/>
        </w:rPr>
      </w:pPr>
    </w:p>
    <w:p w:rsidR="00403CD6" w:rsidRDefault="00E91A59">
      <w:pPr>
        <w:snapToGrid w:val="0"/>
        <w:rPr>
          <w:rFonts w:ascii="宋体" w:eastAsia="宋体" w:hAnsi="宋体"/>
          <w:sz w:val="18"/>
          <w:szCs w:val="18"/>
        </w:rPr>
      </w:pPr>
      <w:r>
        <w:rPr>
          <w:rFonts w:ascii="宋体" w:eastAsia="宋体" w:hAnsi="宋体"/>
          <w:sz w:val="18"/>
          <w:szCs w:val="18"/>
        </w:rPr>
        <w:t>期末，本公司不存在处于第二阶段的应收利息、应收股利和其他应收款</w:t>
      </w:r>
    </w:p>
    <w:p w:rsidR="00403CD6" w:rsidRDefault="00403CD6">
      <w:pPr>
        <w:snapToGrid w:val="0"/>
        <w:rPr>
          <w:rFonts w:ascii="宋体" w:eastAsia="宋体" w:hAnsi="宋体"/>
          <w:sz w:val="18"/>
          <w:szCs w:val="18"/>
        </w:rPr>
      </w:pPr>
    </w:p>
    <w:p w:rsidR="00403CD6" w:rsidRDefault="00E91A59">
      <w:pPr>
        <w:keepNext/>
        <w:widowControl/>
        <w:snapToGrid w:val="0"/>
        <w:rPr>
          <w:rFonts w:ascii="宋体" w:eastAsia="宋体" w:hAnsi="宋体"/>
          <w:sz w:val="18"/>
          <w:szCs w:val="18"/>
        </w:rPr>
      </w:pPr>
      <w:r>
        <w:rPr>
          <w:rFonts w:ascii="宋体" w:eastAsia="宋体" w:hAnsi="宋体"/>
          <w:sz w:val="18"/>
          <w:szCs w:val="18"/>
        </w:rPr>
        <w:t>期末处于第三阶段的坏账准备</w:t>
      </w:r>
    </w:p>
    <w:p w:rsidR="00403CD6" w:rsidRDefault="00403CD6">
      <w:pPr>
        <w:keepNext/>
        <w:widowControl/>
        <w:snapToGrid w:val="0"/>
        <w:rPr>
          <w:rFonts w:ascii="宋体" w:eastAsia="宋体" w:hAnsi="宋体"/>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0"/>
        <w:gridCol w:w="1561"/>
        <w:gridCol w:w="2552"/>
        <w:gridCol w:w="1557"/>
        <w:gridCol w:w="1561"/>
        <w:gridCol w:w="672"/>
      </w:tblGrid>
      <w:tr w:rsidR="00403CD6">
        <w:trPr>
          <w:trHeight w:val="399"/>
        </w:trPr>
        <w:tc>
          <w:tcPr>
            <w:tcW w:w="990"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类别</w:t>
            </w:r>
          </w:p>
        </w:tc>
        <w:tc>
          <w:tcPr>
            <w:tcW w:w="792"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账面余额</w:t>
            </w:r>
          </w:p>
        </w:tc>
        <w:tc>
          <w:tcPr>
            <w:tcW w:w="1295"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整个存续期预期信用损失率</w:t>
            </w:r>
            <w:r>
              <w:rPr>
                <w:rFonts w:ascii="Times New Roman" w:hAnsi="Times New Roman" w:cs="Times New Roman" w:hint="eastAsia"/>
                <w:sz w:val="18"/>
                <w:szCs w:val="18"/>
              </w:rPr>
              <w:t>（</w:t>
            </w:r>
            <w:r>
              <w:rPr>
                <w:rFonts w:ascii="Times New Roman" w:hAnsi="Times New Roman" w:cs="Times New Roman" w:hint="eastAsia"/>
                <w:sz w:val="18"/>
                <w:szCs w:val="18"/>
              </w:rPr>
              <w:t>%</w:t>
            </w:r>
            <w:r>
              <w:rPr>
                <w:rFonts w:ascii="Times New Roman" w:hAnsi="Times New Roman" w:cs="Times New Roman" w:hint="eastAsia"/>
                <w:sz w:val="18"/>
                <w:szCs w:val="18"/>
              </w:rPr>
              <w:t>）</w:t>
            </w:r>
          </w:p>
        </w:tc>
        <w:tc>
          <w:tcPr>
            <w:tcW w:w="790"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坏账准备</w:t>
            </w:r>
          </w:p>
        </w:tc>
        <w:tc>
          <w:tcPr>
            <w:tcW w:w="792"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账面价值</w:t>
            </w:r>
          </w:p>
        </w:tc>
        <w:tc>
          <w:tcPr>
            <w:tcW w:w="341" w:type="pct"/>
            <w:shd w:val="clear" w:color="auto" w:fill="D9D9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理由</w:t>
            </w:r>
          </w:p>
        </w:tc>
      </w:tr>
      <w:tr w:rsidR="00403CD6">
        <w:trPr>
          <w:trHeight w:val="270"/>
        </w:trPr>
        <w:tc>
          <w:tcPr>
            <w:tcW w:w="990" w:type="pct"/>
            <w:shd w:val="clear" w:color="auto" w:fill="auto"/>
            <w:vAlign w:val="center"/>
          </w:tcPr>
          <w:p w:rsidR="00403CD6" w:rsidRDefault="00E91A59">
            <w:pPr>
              <w:rPr>
                <w:rFonts w:asciiTheme="minorEastAsia" w:hAnsiTheme="minorEastAsia" w:cs="Times New Roman"/>
                <w:kern w:val="0"/>
                <w:sz w:val="18"/>
                <w:szCs w:val="18"/>
              </w:rPr>
            </w:pPr>
            <w:r>
              <w:rPr>
                <w:rFonts w:hint="eastAsia"/>
                <w:color w:val="000000"/>
                <w:sz w:val="18"/>
                <w:szCs w:val="18"/>
              </w:rPr>
              <w:t>按单项计提坏账准备</w:t>
            </w:r>
          </w:p>
        </w:tc>
        <w:tc>
          <w:tcPr>
            <w:tcW w:w="7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2,087,431,689.32</w:t>
            </w:r>
          </w:p>
        </w:tc>
        <w:tc>
          <w:tcPr>
            <w:tcW w:w="129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69.14</w:t>
            </w:r>
          </w:p>
        </w:tc>
        <w:tc>
          <w:tcPr>
            <w:tcW w:w="79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1,443,275,872.97</w:t>
            </w:r>
          </w:p>
        </w:tc>
        <w:tc>
          <w:tcPr>
            <w:tcW w:w="7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644,155,816.35</w:t>
            </w:r>
          </w:p>
        </w:tc>
        <w:tc>
          <w:tcPr>
            <w:tcW w:w="341" w:type="pct"/>
            <w:shd w:val="clear" w:color="auto" w:fill="auto"/>
            <w:vAlign w:val="center"/>
          </w:tcPr>
          <w:p w:rsidR="00403CD6" w:rsidRDefault="00403CD6">
            <w:pPr>
              <w:widowControl/>
              <w:jc w:val="right"/>
              <w:rPr>
                <w:rFonts w:ascii="Times New Roman" w:hAnsi="Times New Roman" w:cs="Times New Roman"/>
                <w:kern w:val="0"/>
                <w:sz w:val="18"/>
                <w:szCs w:val="18"/>
              </w:rPr>
            </w:pPr>
          </w:p>
        </w:tc>
      </w:tr>
      <w:tr w:rsidR="00403CD6">
        <w:trPr>
          <w:trHeight w:val="270"/>
        </w:trPr>
        <w:tc>
          <w:tcPr>
            <w:tcW w:w="990" w:type="pct"/>
            <w:shd w:val="clear" w:color="auto" w:fill="D9D9D9"/>
            <w:vAlign w:val="center"/>
          </w:tcPr>
          <w:p w:rsidR="00403CD6" w:rsidRDefault="00E91A59">
            <w:pPr>
              <w:jc w:val="center"/>
              <w:rPr>
                <w:rFonts w:asciiTheme="minorEastAsia" w:hAnsiTheme="minorEastAsia" w:cs="Times New Roman"/>
                <w:b/>
                <w:bCs/>
                <w:kern w:val="0"/>
                <w:sz w:val="18"/>
                <w:szCs w:val="18"/>
              </w:rPr>
            </w:pPr>
            <w:r>
              <w:rPr>
                <w:rFonts w:asciiTheme="minorEastAsia" w:hAnsiTheme="minorEastAsia" w:cs="Times New Roman"/>
                <w:sz w:val="18"/>
                <w:szCs w:val="18"/>
              </w:rPr>
              <w:t>合计</w:t>
            </w:r>
          </w:p>
        </w:tc>
        <w:tc>
          <w:tcPr>
            <w:tcW w:w="7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2,087,431,689.32</w:t>
            </w:r>
          </w:p>
        </w:tc>
        <w:tc>
          <w:tcPr>
            <w:tcW w:w="129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69.14</w:t>
            </w:r>
          </w:p>
        </w:tc>
        <w:tc>
          <w:tcPr>
            <w:tcW w:w="79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1,443,275,872.97</w:t>
            </w:r>
          </w:p>
        </w:tc>
        <w:tc>
          <w:tcPr>
            <w:tcW w:w="7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644,155,816.35</w:t>
            </w:r>
          </w:p>
        </w:tc>
        <w:tc>
          <w:tcPr>
            <w:tcW w:w="341" w:type="pct"/>
            <w:shd w:val="clear" w:color="auto" w:fill="auto"/>
            <w:vAlign w:val="center"/>
          </w:tcPr>
          <w:p w:rsidR="00403CD6" w:rsidRDefault="00403CD6">
            <w:pPr>
              <w:widowControl/>
              <w:jc w:val="right"/>
              <w:rPr>
                <w:rFonts w:ascii="Times New Roman" w:hAnsi="Times New Roman" w:cs="Times New Roman"/>
                <w:kern w:val="0"/>
                <w:sz w:val="18"/>
                <w:szCs w:val="18"/>
              </w:rPr>
            </w:pPr>
          </w:p>
        </w:tc>
      </w:tr>
    </w:tbl>
    <w:p w:rsidR="00403CD6" w:rsidRDefault="00403CD6">
      <w:pPr>
        <w:keepNext/>
        <w:keepLines/>
        <w:spacing w:line="280" w:lineRule="exact"/>
        <w:ind w:firstLineChars="200" w:firstLine="360"/>
        <w:rPr>
          <w:rFonts w:ascii="宋体" w:eastAsia="宋体" w:hAnsi="宋体" w:cs="Times New Roman"/>
          <w:sz w:val="18"/>
          <w:szCs w:val="18"/>
        </w:rPr>
      </w:pPr>
    </w:p>
    <w:p w:rsidR="00403CD6" w:rsidRDefault="00E91A59">
      <w:pPr>
        <w:snapToGrid w:val="0"/>
        <w:spacing w:beforeLines="50" w:before="156" w:afterLines="90" w:after="280"/>
        <w:rPr>
          <w:rFonts w:ascii="宋体" w:eastAsia="宋体" w:hAnsi="宋体"/>
          <w:sz w:val="18"/>
          <w:szCs w:val="18"/>
        </w:rPr>
      </w:pPr>
      <w:r>
        <w:rPr>
          <w:rFonts w:ascii="宋体" w:eastAsia="宋体" w:hAnsi="宋体" w:hint="eastAsia"/>
          <w:sz w:val="18"/>
          <w:szCs w:val="18"/>
        </w:rPr>
        <w:t>按单项计提坏账准备：</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1076"/>
        <w:gridCol w:w="1560"/>
        <w:gridCol w:w="1844"/>
        <w:gridCol w:w="1559"/>
        <w:gridCol w:w="1418"/>
        <w:gridCol w:w="2177"/>
      </w:tblGrid>
      <w:tr w:rsidR="00403CD6">
        <w:trPr>
          <w:cantSplit/>
          <w:trHeight w:val="284"/>
        </w:trPr>
        <w:tc>
          <w:tcPr>
            <w:tcW w:w="558"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类</w:t>
            </w:r>
            <w:r>
              <w:rPr>
                <w:rFonts w:ascii="Times New Roman" w:eastAsia="宋体" w:hAnsi="Times New Roman" w:cs="Times New Roman"/>
                <w:bCs/>
                <w:sz w:val="18"/>
                <w:szCs w:val="18"/>
              </w:rPr>
              <w:t xml:space="preserve">  </w:t>
            </w:r>
            <w:r>
              <w:rPr>
                <w:rFonts w:ascii="Times New Roman" w:eastAsia="宋体" w:hAnsi="Times New Roman" w:cs="Times New Roman"/>
                <w:bCs/>
                <w:sz w:val="18"/>
                <w:szCs w:val="18"/>
              </w:rPr>
              <w:t>别</w:t>
            </w:r>
          </w:p>
        </w:tc>
        <w:tc>
          <w:tcPr>
            <w:tcW w:w="809"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账面余额</w:t>
            </w:r>
          </w:p>
        </w:tc>
        <w:tc>
          <w:tcPr>
            <w:tcW w:w="957"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整个存续期预期信用损失率（</w:t>
            </w:r>
            <w:r>
              <w:rPr>
                <w:rFonts w:ascii="Times New Roman" w:eastAsia="宋体" w:hAnsi="Times New Roman" w:cs="Times New Roman"/>
                <w:bCs/>
                <w:sz w:val="18"/>
                <w:szCs w:val="18"/>
              </w:rPr>
              <w:t>%</w:t>
            </w:r>
            <w:r>
              <w:rPr>
                <w:rFonts w:ascii="Times New Roman" w:eastAsia="宋体" w:hAnsi="Times New Roman" w:cs="Times New Roman"/>
                <w:bCs/>
                <w:sz w:val="18"/>
                <w:szCs w:val="18"/>
              </w:rPr>
              <w:t>）</w:t>
            </w:r>
          </w:p>
        </w:tc>
        <w:tc>
          <w:tcPr>
            <w:tcW w:w="809"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坏账准备</w:t>
            </w:r>
          </w:p>
        </w:tc>
        <w:tc>
          <w:tcPr>
            <w:tcW w:w="736"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账面价值</w:t>
            </w:r>
          </w:p>
        </w:tc>
        <w:tc>
          <w:tcPr>
            <w:tcW w:w="1130"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理由</w:t>
            </w:r>
          </w:p>
        </w:tc>
      </w:tr>
      <w:tr w:rsidR="00403CD6">
        <w:trPr>
          <w:cantSplit/>
          <w:trHeight w:val="284"/>
        </w:trPr>
        <w:tc>
          <w:tcPr>
            <w:tcW w:w="558" w:type="pct"/>
            <w:vAlign w:val="center"/>
          </w:tcPr>
          <w:p w:rsidR="00403CD6" w:rsidRDefault="00E91A59">
            <w:pPr>
              <w:jc w:val="both"/>
              <w:rPr>
                <w:rFonts w:ascii="Times New Roman" w:eastAsia="宋体" w:hAnsi="Times New Roman" w:cs="Times New Roman"/>
                <w:bCs/>
                <w:sz w:val="18"/>
                <w:szCs w:val="18"/>
              </w:rPr>
            </w:pPr>
            <w:r>
              <w:rPr>
                <w:rFonts w:hint="eastAsia"/>
                <w:color w:val="000000"/>
                <w:sz w:val="18"/>
                <w:szCs w:val="18"/>
              </w:rPr>
              <w:t>客户</w:t>
            </w:r>
            <w:proofErr w:type="gramStart"/>
            <w:r>
              <w:rPr>
                <w:rFonts w:hint="eastAsia"/>
                <w:color w:val="000000"/>
                <w:sz w:val="18"/>
                <w:szCs w:val="18"/>
              </w:rPr>
              <w:t>一</w:t>
            </w:r>
            <w:proofErr w:type="gramEnd"/>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472,854,783.56</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70.25</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332,202,672.36</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140,652,111.20</w:t>
            </w:r>
          </w:p>
        </w:tc>
        <w:tc>
          <w:tcPr>
            <w:tcW w:w="1130" w:type="pct"/>
            <w:vAlign w:val="center"/>
          </w:tcPr>
          <w:p w:rsidR="00403CD6" w:rsidRDefault="00E91A59">
            <w:pPr>
              <w:rPr>
                <w:rFonts w:ascii="Times New Roman" w:eastAsia="宋体" w:hAnsi="Times New Roman" w:cs="Times New Roman"/>
                <w:bCs/>
                <w:sz w:val="18"/>
                <w:szCs w:val="18"/>
              </w:rPr>
            </w:pPr>
            <w:r>
              <w:rPr>
                <w:rFonts w:hint="eastAsia"/>
                <w:color w:val="000000"/>
                <w:sz w:val="18"/>
                <w:szCs w:val="18"/>
              </w:rPr>
              <w:t>收回具有一定不确定性</w:t>
            </w:r>
          </w:p>
        </w:tc>
      </w:tr>
      <w:tr w:rsidR="00403CD6">
        <w:trPr>
          <w:cantSplit/>
          <w:trHeight w:val="284"/>
        </w:trPr>
        <w:tc>
          <w:tcPr>
            <w:tcW w:w="558" w:type="pct"/>
            <w:vAlign w:val="center"/>
          </w:tcPr>
          <w:p w:rsidR="00403CD6" w:rsidRDefault="00E91A59">
            <w:pPr>
              <w:jc w:val="both"/>
              <w:rPr>
                <w:rFonts w:ascii="Times New Roman" w:eastAsia="宋体" w:hAnsi="Times New Roman" w:cs="Times New Roman"/>
                <w:bCs/>
                <w:sz w:val="18"/>
                <w:szCs w:val="18"/>
              </w:rPr>
            </w:pPr>
            <w:r>
              <w:rPr>
                <w:rFonts w:hint="eastAsia"/>
                <w:color w:val="000000"/>
                <w:sz w:val="18"/>
                <w:szCs w:val="18"/>
              </w:rPr>
              <w:t>客户二</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453,002,316.85</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40</w:t>
            </w:r>
            <w:r>
              <w:rPr>
                <w:rFonts w:ascii="Times New Roman" w:hAnsi="Times New Roman" w:cs="Times New Roman" w:hint="eastAsia"/>
                <w:color w:val="000000"/>
                <w:sz w:val="18"/>
                <w:szCs w:val="18"/>
              </w:rPr>
              <w:t>.00</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181,200,926.74</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271,801,390.11</w:t>
            </w:r>
          </w:p>
        </w:tc>
        <w:tc>
          <w:tcPr>
            <w:tcW w:w="1130" w:type="pct"/>
            <w:vAlign w:val="center"/>
          </w:tcPr>
          <w:p w:rsidR="00403CD6" w:rsidRDefault="00E91A59">
            <w:pPr>
              <w:rPr>
                <w:rFonts w:ascii="Times New Roman" w:eastAsia="宋体" w:hAnsi="Times New Roman" w:cs="Times New Roman"/>
                <w:bCs/>
                <w:sz w:val="18"/>
                <w:szCs w:val="18"/>
              </w:rPr>
            </w:pPr>
            <w:r>
              <w:rPr>
                <w:rFonts w:hint="eastAsia"/>
                <w:color w:val="000000"/>
                <w:sz w:val="18"/>
                <w:szCs w:val="18"/>
              </w:rPr>
              <w:t>收回具有一定不确定性</w:t>
            </w:r>
          </w:p>
        </w:tc>
      </w:tr>
      <w:tr w:rsidR="00403CD6">
        <w:trPr>
          <w:cantSplit/>
          <w:trHeight w:val="284"/>
        </w:trPr>
        <w:tc>
          <w:tcPr>
            <w:tcW w:w="558" w:type="pct"/>
            <w:vAlign w:val="center"/>
          </w:tcPr>
          <w:p w:rsidR="00403CD6" w:rsidRDefault="00E91A59">
            <w:pPr>
              <w:jc w:val="both"/>
              <w:rPr>
                <w:rFonts w:ascii="Times New Roman" w:eastAsia="宋体" w:hAnsi="Times New Roman" w:cs="Times New Roman"/>
                <w:bCs/>
                <w:sz w:val="18"/>
                <w:szCs w:val="18"/>
              </w:rPr>
            </w:pPr>
            <w:r>
              <w:rPr>
                <w:rFonts w:hint="eastAsia"/>
                <w:color w:val="000000"/>
                <w:sz w:val="18"/>
                <w:szCs w:val="18"/>
              </w:rPr>
              <w:t>客户三</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390,000,000.00</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100</w:t>
            </w:r>
            <w:r>
              <w:rPr>
                <w:rFonts w:ascii="Times New Roman" w:hAnsi="Times New Roman" w:cs="Times New Roman" w:hint="eastAsia"/>
                <w:color w:val="000000"/>
                <w:sz w:val="18"/>
                <w:szCs w:val="18"/>
              </w:rPr>
              <w:t>.00</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390,000,000.00</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hint="eastAsia"/>
                <w:color w:val="000000"/>
                <w:sz w:val="18"/>
                <w:szCs w:val="18"/>
              </w:rPr>
              <w:t>0.00</w:t>
            </w:r>
            <w:r>
              <w:rPr>
                <w:rFonts w:ascii="Times New Roman" w:hAnsi="Times New Roman" w:cs="Times New Roman"/>
                <w:color w:val="000000"/>
                <w:sz w:val="18"/>
                <w:szCs w:val="18"/>
              </w:rPr>
              <w:t xml:space="preserve">　</w:t>
            </w:r>
          </w:p>
        </w:tc>
        <w:tc>
          <w:tcPr>
            <w:tcW w:w="1130" w:type="pct"/>
            <w:vAlign w:val="center"/>
          </w:tcPr>
          <w:p w:rsidR="00403CD6" w:rsidRDefault="00E91A59">
            <w:pPr>
              <w:rPr>
                <w:rFonts w:ascii="Times New Roman" w:eastAsia="宋体" w:hAnsi="Times New Roman" w:cs="Times New Roman"/>
                <w:bCs/>
                <w:sz w:val="18"/>
                <w:szCs w:val="18"/>
              </w:rPr>
            </w:pPr>
            <w:r>
              <w:rPr>
                <w:rFonts w:hint="eastAsia"/>
                <w:color w:val="000000"/>
                <w:sz w:val="18"/>
                <w:szCs w:val="18"/>
              </w:rPr>
              <w:t>收回具有一定不确定性</w:t>
            </w:r>
          </w:p>
        </w:tc>
      </w:tr>
      <w:tr w:rsidR="00403CD6">
        <w:trPr>
          <w:cantSplit/>
          <w:trHeight w:val="284"/>
        </w:trPr>
        <w:tc>
          <w:tcPr>
            <w:tcW w:w="558" w:type="pct"/>
            <w:vAlign w:val="center"/>
          </w:tcPr>
          <w:p w:rsidR="00403CD6" w:rsidRDefault="00E91A59">
            <w:pPr>
              <w:jc w:val="both"/>
              <w:rPr>
                <w:rFonts w:ascii="Times New Roman" w:eastAsia="宋体" w:hAnsi="Times New Roman" w:cs="Times New Roman"/>
                <w:bCs/>
                <w:sz w:val="18"/>
                <w:szCs w:val="18"/>
              </w:rPr>
            </w:pPr>
            <w:r>
              <w:rPr>
                <w:rFonts w:hint="eastAsia"/>
                <w:color w:val="000000"/>
                <w:sz w:val="18"/>
                <w:szCs w:val="18"/>
              </w:rPr>
              <w:t>客户四</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143,940,305.63</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55</w:t>
            </w:r>
            <w:r>
              <w:rPr>
                <w:rFonts w:ascii="Times New Roman" w:hAnsi="Times New Roman" w:cs="Times New Roman" w:hint="eastAsia"/>
                <w:color w:val="000000"/>
                <w:sz w:val="18"/>
                <w:szCs w:val="18"/>
              </w:rPr>
              <w:t>.00</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79,167,168.10</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64,773,137.53</w:t>
            </w:r>
          </w:p>
        </w:tc>
        <w:tc>
          <w:tcPr>
            <w:tcW w:w="1130" w:type="pct"/>
            <w:vAlign w:val="center"/>
          </w:tcPr>
          <w:p w:rsidR="00403CD6" w:rsidRDefault="00E91A59">
            <w:pPr>
              <w:rPr>
                <w:rFonts w:ascii="Times New Roman" w:eastAsia="宋体" w:hAnsi="Times New Roman" w:cs="Times New Roman"/>
                <w:bCs/>
                <w:sz w:val="18"/>
                <w:szCs w:val="18"/>
              </w:rPr>
            </w:pPr>
            <w:r>
              <w:rPr>
                <w:rFonts w:hint="eastAsia"/>
                <w:color w:val="000000"/>
                <w:sz w:val="18"/>
                <w:szCs w:val="18"/>
              </w:rPr>
              <w:t>收回具有一定不确定性</w:t>
            </w:r>
          </w:p>
        </w:tc>
      </w:tr>
      <w:tr w:rsidR="00403CD6">
        <w:trPr>
          <w:cantSplit/>
          <w:trHeight w:val="284"/>
        </w:trPr>
        <w:tc>
          <w:tcPr>
            <w:tcW w:w="558" w:type="pct"/>
            <w:vAlign w:val="center"/>
          </w:tcPr>
          <w:p w:rsidR="00403CD6" w:rsidRDefault="00E91A59">
            <w:pPr>
              <w:jc w:val="both"/>
              <w:rPr>
                <w:rFonts w:ascii="Times New Roman" w:eastAsia="宋体" w:hAnsi="Times New Roman" w:cs="Times New Roman"/>
                <w:bCs/>
                <w:sz w:val="18"/>
                <w:szCs w:val="18"/>
              </w:rPr>
            </w:pPr>
            <w:r>
              <w:rPr>
                <w:rFonts w:hint="eastAsia"/>
                <w:color w:val="000000"/>
                <w:sz w:val="18"/>
                <w:szCs w:val="18"/>
              </w:rPr>
              <w:t>客户五等</w:t>
            </w:r>
            <w:r>
              <w:rPr>
                <w:rFonts w:ascii="Times New Roman" w:hAnsi="Times New Roman" w:cs="Times New Roman" w:hint="eastAsia"/>
                <w:color w:val="000000"/>
                <w:sz w:val="18"/>
                <w:szCs w:val="18"/>
              </w:rPr>
              <w:t>136</w:t>
            </w:r>
            <w:r>
              <w:rPr>
                <w:rFonts w:hint="eastAsia"/>
                <w:color w:val="000000"/>
                <w:sz w:val="18"/>
                <w:szCs w:val="18"/>
              </w:rPr>
              <w:t>家客户</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627,634,283.28</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73.40</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460,705,105.77</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166,929,177.51</w:t>
            </w:r>
          </w:p>
        </w:tc>
        <w:tc>
          <w:tcPr>
            <w:tcW w:w="1130" w:type="pct"/>
            <w:vAlign w:val="center"/>
          </w:tcPr>
          <w:p w:rsidR="00403CD6" w:rsidRDefault="00E91A59">
            <w:pPr>
              <w:rPr>
                <w:rFonts w:ascii="Times New Roman" w:eastAsia="宋体" w:hAnsi="Times New Roman" w:cs="Times New Roman"/>
                <w:bCs/>
                <w:sz w:val="18"/>
                <w:szCs w:val="18"/>
              </w:rPr>
            </w:pPr>
            <w:r>
              <w:rPr>
                <w:rFonts w:hint="eastAsia"/>
                <w:color w:val="000000"/>
                <w:sz w:val="18"/>
                <w:szCs w:val="18"/>
              </w:rPr>
              <w:t>收回具有一定不确定性</w:t>
            </w:r>
          </w:p>
        </w:tc>
      </w:tr>
      <w:tr w:rsidR="00403CD6">
        <w:trPr>
          <w:cantSplit/>
          <w:trHeight w:val="284"/>
        </w:trPr>
        <w:tc>
          <w:tcPr>
            <w:tcW w:w="558"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合计</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2,087,431,689.32</w:t>
            </w:r>
          </w:p>
        </w:tc>
        <w:tc>
          <w:tcPr>
            <w:tcW w:w="957"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69.14</w:t>
            </w:r>
          </w:p>
        </w:tc>
        <w:tc>
          <w:tcPr>
            <w:tcW w:w="809"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1,443,275,872.97</w:t>
            </w:r>
          </w:p>
        </w:tc>
        <w:tc>
          <w:tcPr>
            <w:tcW w:w="736" w:type="pct"/>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color w:val="000000"/>
                <w:sz w:val="18"/>
                <w:szCs w:val="18"/>
              </w:rPr>
              <w:t>644,155,816.35</w:t>
            </w:r>
          </w:p>
        </w:tc>
        <w:tc>
          <w:tcPr>
            <w:tcW w:w="1130" w:type="pct"/>
            <w:vAlign w:val="center"/>
          </w:tcPr>
          <w:p w:rsidR="00403CD6" w:rsidRDefault="00403CD6">
            <w:pPr>
              <w:jc w:val="right"/>
              <w:rPr>
                <w:rFonts w:ascii="Times New Roman" w:eastAsia="宋体" w:hAnsi="Times New Roman" w:cs="Times New Roman"/>
                <w:bCs/>
                <w:sz w:val="18"/>
                <w:szCs w:val="18"/>
              </w:rPr>
            </w:pPr>
          </w:p>
        </w:tc>
      </w:tr>
    </w:tbl>
    <w:p w:rsidR="00403CD6" w:rsidRDefault="00403CD6">
      <w:pPr>
        <w:spacing w:line="240" w:lineRule="exact"/>
        <w:rPr>
          <w:rFonts w:ascii="Times New Roman" w:eastAsia="宋体" w:hAnsi="Times New Roman" w:cs="Times New Roman"/>
          <w:sz w:val="18"/>
          <w:szCs w:val="18"/>
        </w:rPr>
      </w:pPr>
    </w:p>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按预期信用损失一般模型计提坏账准备：</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9"/>
        <w:gridCol w:w="1563"/>
        <w:gridCol w:w="2126"/>
        <w:gridCol w:w="2126"/>
        <w:gridCol w:w="1519"/>
      </w:tblGrid>
      <w:tr w:rsidR="00403CD6">
        <w:trPr>
          <w:trHeight w:val="240"/>
        </w:trPr>
        <w:tc>
          <w:tcPr>
            <w:tcW w:w="127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7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第一阶段</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第二阶段</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第三阶段</w:t>
            </w:r>
          </w:p>
        </w:tc>
        <w:tc>
          <w:tcPr>
            <w:tcW w:w="77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trHeight w:val="240"/>
        </w:trPr>
        <w:tc>
          <w:tcPr>
            <w:tcW w:w="1278" w:type="pct"/>
            <w:vMerge/>
            <w:shd w:val="clear" w:color="auto" w:fill="D3D3D3"/>
            <w:vAlign w:val="center"/>
          </w:tcPr>
          <w:p w:rsidR="00403CD6" w:rsidRDefault="00403CD6">
            <w:pPr>
              <w:rPr>
                <w:rFonts w:ascii="Times New Roman" w:hAnsi="Times New Roman" w:cs="Times New Roman"/>
              </w:rPr>
            </w:pPr>
          </w:p>
        </w:tc>
        <w:tc>
          <w:tcPr>
            <w:tcW w:w="7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未来</w:t>
            </w:r>
            <w:r>
              <w:rPr>
                <w:rFonts w:ascii="Times New Roman" w:eastAsia="宋体" w:hAnsi="Times New Roman" w:cs="Times New Roman"/>
                <w:sz w:val="18"/>
                <w:szCs w:val="18"/>
              </w:rPr>
              <w:t>12</w:t>
            </w:r>
            <w:r>
              <w:rPr>
                <w:rFonts w:ascii="Times New Roman" w:eastAsia="宋体" w:hAnsi="Times New Roman" w:cs="Times New Roman"/>
                <w:sz w:val="18"/>
                <w:szCs w:val="18"/>
              </w:rPr>
              <w:t>个月预期信用损失</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整个存续期预期信用损失（未发生信用减值）</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整个存续期预期信用损失（已发生信用减值）</w:t>
            </w:r>
          </w:p>
        </w:tc>
        <w:tc>
          <w:tcPr>
            <w:tcW w:w="772" w:type="pct"/>
            <w:vMerge/>
            <w:shd w:val="clear" w:color="auto" w:fill="D3D3D3"/>
            <w:vAlign w:val="center"/>
          </w:tcPr>
          <w:p w:rsidR="00403CD6" w:rsidRDefault="00403CD6">
            <w:pPr>
              <w:rPr>
                <w:rFonts w:ascii="Times New Roman" w:hAnsi="Times New Roman" w:cs="Times New Roman"/>
              </w:rPr>
            </w:pP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2024</w:t>
            </w:r>
            <w:r>
              <w:rPr>
                <w:rFonts w:ascii="Times New Roman" w:eastAsia="宋体" w:hAnsi="Times New Roman" w:cs="Times New Roman"/>
                <w:sz w:val="18"/>
                <w:szCs w:val="18"/>
              </w:rPr>
              <w:t>年</w:t>
            </w:r>
            <w:r>
              <w:rPr>
                <w:rFonts w:ascii="Times New Roman" w:eastAsia="宋体" w:hAnsi="Times New Roman" w:cs="Times New Roman"/>
                <w:sz w:val="18"/>
                <w:szCs w:val="18"/>
              </w:rPr>
              <w:t>1</w:t>
            </w:r>
            <w:r>
              <w:rPr>
                <w:rFonts w:ascii="Times New Roman" w:eastAsia="宋体" w:hAnsi="Times New Roman" w:cs="Times New Roman"/>
                <w:sz w:val="18"/>
                <w:szCs w:val="18"/>
              </w:rPr>
              <w:t>月</w:t>
            </w:r>
            <w:r>
              <w:rPr>
                <w:rFonts w:ascii="Times New Roman" w:eastAsia="宋体" w:hAnsi="Times New Roman" w:cs="Times New Roman"/>
                <w:sz w:val="18"/>
                <w:szCs w:val="18"/>
              </w:rPr>
              <w:t>1</w:t>
            </w:r>
            <w:r>
              <w:rPr>
                <w:rFonts w:ascii="Times New Roman" w:eastAsia="宋体" w:hAnsi="Times New Roman" w:cs="Times New Roman"/>
                <w:sz w:val="18"/>
                <w:szCs w:val="18"/>
              </w:rPr>
              <w:t>日余额</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87,540,266.28</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422,395,411.59</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509,935,677.87</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2024</w:t>
            </w:r>
            <w:r>
              <w:rPr>
                <w:rFonts w:ascii="Times New Roman" w:eastAsia="宋体" w:hAnsi="Times New Roman" w:cs="Times New Roman"/>
                <w:sz w:val="18"/>
                <w:szCs w:val="18"/>
              </w:rPr>
              <w:t>年</w:t>
            </w:r>
            <w:r>
              <w:rPr>
                <w:rFonts w:ascii="Times New Roman" w:eastAsia="宋体" w:hAnsi="Times New Roman" w:cs="Times New Roman"/>
                <w:sz w:val="18"/>
                <w:szCs w:val="18"/>
              </w:rPr>
              <w:t>1</w:t>
            </w:r>
            <w:r>
              <w:rPr>
                <w:rFonts w:ascii="Times New Roman" w:eastAsia="宋体" w:hAnsi="Times New Roman" w:cs="Times New Roman"/>
                <w:sz w:val="18"/>
                <w:szCs w:val="18"/>
              </w:rPr>
              <w:t>月</w:t>
            </w:r>
            <w:r>
              <w:rPr>
                <w:rFonts w:ascii="Times New Roman" w:eastAsia="宋体" w:hAnsi="Times New Roman" w:cs="Times New Roman"/>
                <w:sz w:val="18"/>
                <w:szCs w:val="18"/>
              </w:rPr>
              <w:t>1</w:t>
            </w:r>
            <w:r>
              <w:rPr>
                <w:rFonts w:ascii="Times New Roman" w:eastAsia="宋体" w:hAnsi="Times New Roman" w:cs="Times New Roman"/>
                <w:sz w:val="18"/>
                <w:szCs w:val="18"/>
              </w:rPr>
              <w:t>日余额在本期</w:t>
            </w:r>
          </w:p>
        </w:tc>
        <w:tc>
          <w:tcPr>
            <w:tcW w:w="793" w:type="pct"/>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Cs w:val="21"/>
              </w:rPr>
              <w:t xml:space="preserve">　</w:t>
            </w:r>
          </w:p>
        </w:tc>
        <w:tc>
          <w:tcPr>
            <w:tcW w:w="1079" w:type="pct"/>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Cs w:val="21"/>
              </w:rPr>
              <w:t xml:space="preserve">　</w:t>
            </w:r>
          </w:p>
        </w:tc>
        <w:tc>
          <w:tcPr>
            <w:tcW w:w="1079" w:type="pct"/>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Cs w:val="21"/>
              </w:rPr>
              <w:t xml:space="preserve">　</w:t>
            </w:r>
          </w:p>
        </w:tc>
        <w:tc>
          <w:tcPr>
            <w:tcW w:w="772" w:type="pct"/>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Cs w:val="21"/>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转入第二阶段</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转入第三阶段</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转回第二阶段</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转回第一阶段</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本期计提</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13,979,730.50</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1,022,206,731.89</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1,036,186,462.39</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本期转回</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43,619,026.39</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1,326,270.51</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44,945,296.90</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本期转销</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本期核销</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其他变动</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-1,413,163.36</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-1,413,163.36</w:t>
            </w:r>
          </w:p>
        </w:tc>
      </w:tr>
      <w:tr w:rsidR="00403CD6">
        <w:trPr>
          <w:trHeight w:val="240"/>
        </w:trPr>
        <w:tc>
          <w:tcPr>
            <w:tcW w:w="127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2024</w:t>
            </w:r>
            <w:r>
              <w:rPr>
                <w:rFonts w:ascii="Times New Roman" w:eastAsia="宋体" w:hAnsi="Times New Roman" w:cs="Times New Roman"/>
                <w:sz w:val="18"/>
                <w:szCs w:val="18"/>
              </w:rPr>
              <w:t>年</w:t>
            </w:r>
            <w:r>
              <w:rPr>
                <w:rFonts w:ascii="Times New Roman" w:eastAsia="宋体" w:hAnsi="Times New Roman" w:cs="Times New Roman"/>
                <w:sz w:val="18"/>
                <w:szCs w:val="18"/>
              </w:rPr>
              <w:t>12</w:t>
            </w:r>
            <w:r>
              <w:rPr>
                <w:rFonts w:ascii="Times New Roman" w:eastAsia="宋体" w:hAnsi="Times New Roman" w:cs="Times New Roman"/>
                <w:sz w:val="18"/>
                <w:szCs w:val="18"/>
              </w:rPr>
              <w:t>月</w:t>
            </w:r>
            <w:r>
              <w:rPr>
                <w:rFonts w:ascii="Times New Roman" w:eastAsia="宋体" w:hAnsi="Times New Roman" w:cs="Times New Roman"/>
                <w:sz w:val="18"/>
                <w:szCs w:val="18"/>
              </w:rPr>
              <w:t>31</w:t>
            </w:r>
            <w:r>
              <w:rPr>
                <w:rFonts w:ascii="Times New Roman" w:eastAsia="宋体" w:hAnsi="Times New Roman" w:cs="Times New Roman"/>
                <w:sz w:val="18"/>
                <w:szCs w:val="18"/>
              </w:rPr>
              <w:t>日余额</w:t>
            </w:r>
          </w:p>
        </w:tc>
        <w:tc>
          <w:tcPr>
            <w:tcW w:w="79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56,487,807.03</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1,443,275,872.97</w:t>
            </w:r>
          </w:p>
        </w:tc>
        <w:tc>
          <w:tcPr>
            <w:tcW w:w="77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1,499,763,680.00</w:t>
            </w:r>
          </w:p>
        </w:tc>
      </w:tr>
    </w:tbl>
    <w:p w:rsidR="00403CD6" w:rsidRDefault="00E91A59">
      <w:pPr>
        <w:adjustRightInd w:val="0"/>
        <w:snapToGrid w:val="0"/>
        <w:spacing w:beforeLines="50" w:before="156" w:afterLines="90" w:after="280"/>
        <w:ind w:firstLineChars="200" w:firstLine="360"/>
        <w:rPr>
          <w:rFonts w:ascii="Times New Roman" w:hAnsi="Times New Roman" w:cs="Times New Roman"/>
          <w:sz w:val="18"/>
          <w:szCs w:val="18"/>
        </w:rPr>
      </w:pPr>
      <w:r>
        <w:rPr>
          <w:rFonts w:ascii="Times New Roman" w:hAnsi="Times New Roman" w:cs="Times New Roman" w:hint="eastAsia"/>
          <w:sz w:val="18"/>
          <w:szCs w:val="18"/>
        </w:rPr>
        <w:t>说明：“其他变动”中包含处置子公司减少的坏账</w:t>
      </w:r>
      <w:r>
        <w:rPr>
          <w:rFonts w:ascii="Times New Roman" w:hAnsi="Times New Roman" w:cs="Times New Roman" w:hint="eastAsia"/>
          <w:sz w:val="18"/>
          <w:szCs w:val="18"/>
        </w:rPr>
        <w:t>19,000.00</w:t>
      </w:r>
      <w:r>
        <w:rPr>
          <w:rFonts w:ascii="Times New Roman" w:hAnsi="Times New Roman" w:cs="Times New Roman" w:hint="eastAsia"/>
          <w:sz w:val="18"/>
          <w:szCs w:val="18"/>
        </w:rPr>
        <w:t>元，以及汇率变动原因减少的坏账</w:t>
      </w:r>
      <w:r>
        <w:rPr>
          <w:rFonts w:ascii="Times New Roman" w:hAnsi="Times New Roman" w:cs="Times New Roman" w:hint="eastAsia"/>
          <w:sz w:val="18"/>
          <w:szCs w:val="18"/>
        </w:rPr>
        <w:t>1,394,163.36</w:t>
      </w:r>
      <w:r>
        <w:rPr>
          <w:rFonts w:ascii="Times New Roman" w:hAnsi="Times New Roman" w:cs="Times New Roman" w:hint="eastAsia"/>
          <w:sz w:val="18"/>
          <w:szCs w:val="18"/>
        </w:rPr>
        <w:t>元。</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损失准备本期变动金额重大的账面余额变动情况</w:t>
      </w:r>
    </w:p>
    <w:p w:rsidR="00403CD6" w:rsidRDefault="00E91A59">
      <w:pPr>
        <w:spacing w:before="100" w:after="100" w:line="240" w:lineRule="exact"/>
        <w:rPr>
          <w:rFonts w:asciiTheme="minorEastAsia" w:hAnsiTheme="minorEastAsia" w:cs="Times New Roman"/>
          <w:sz w:val="18"/>
          <w:szCs w:val="18"/>
        </w:rPr>
      </w:pPr>
      <w:r>
        <w:rPr>
          <w:rFonts w:asciiTheme="minorEastAsia" w:hAnsiTheme="minorEastAsia" w:cs="Times New Roman"/>
          <w:sz w:val="18"/>
          <w:szCs w:val="18"/>
        </w:rPr>
        <w:t xml:space="preserve">□适用 </w:t>
      </w:r>
      <w:r>
        <w:rPr>
          <w:rFonts w:asciiTheme="minorEastAsia" w:hAnsiTheme="minorEastAsia" w:cs="宋体"/>
          <w:sz w:val="18"/>
          <w:szCs w:val="18"/>
        </w:rPr>
        <w:sym w:font="Wingdings 2" w:char="0052"/>
      </w:r>
      <w:r>
        <w:rPr>
          <w:rFonts w:asciiTheme="minorEastAsia" w:hAnsiTheme="minorEastAsia" w:cs="Times New Roman"/>
          <w:sz w:val="18"/>
          <w:szCs w:val="18"/>
        </w:rPr>
        <w:t>不适用</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t>4） 本期计提、收回或转回的坏账准备情况</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本期计提坏账准备情况：</w:t>
      </w:r>
    </w:p>
    <w:p w:rsidR="00403CD6" w:rsidRDefault="00E91A59">
      <w:pPr>
        <w:spacing w:before="120" w:after="12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8"/>
        <w:gridCol w:w="1397"/>
        <w:gridCol w:w="1395"/>
        <w:gridCol w:w="1395"/>
        <w:gridCol w:w="1395"/>
        <w:gridCol w:w="1397"/>
        <w:gridCol w:w="1476"/>
      </w:tblGrid>
      <w:tr w:rsidR="00403CD6">
        <w:trPr>
          <w:trHeight w:val="284"/>
        </w:trPr>
        <w:tc>
          <w:tcPr>
            <w:tcW w:w="709" w:type="pct"/>
            <w:vMerge w:val="restar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类别</w:t>
            </w:r>
          </w:p>
        </w:tc>
        <w:tc>
          <w:tcPr>
            <w:tcW w:w="709" w:type="pct"/>
            <w:vMerge w:val="restar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c>
          <w:tcPr>
            <w:tcW w:w="2833" w:type="pct"/>
            <w:gridSpan w:val="4"/>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本期变动金额</w:t>
            </w:r>
          </w:p>
        </w:tc>
        <w:tc>
          <w:tcPr>
            <w:tcW w:w="749" w:type="pct"/>
            <w:vMerge w:val="restar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r>
      <w:tr w:rsidR="00403CD6">
        <w:trPr>
          <w:trHeight w:val="284"/>
        </w:trPr>
        <w:tc>
          <w:tcPr>
            <w:tcW w:w="709" w:type="pct"/>
            <w:vMerge/>
            <w:vAlign w:val="center"/>
          </w:tcPr>
          <w:p w:rsidR="00403CD6" w:rsidRDefault="00403CD6">
            <w:pPr>
              <w:widowControl/>
              <w:rPr>
                <w:rFonts w:ascii="宋体" w:eastAsia="宋体" w:hAnsi="宋体" w:cs="宋体"/>
                <w:sz w:val="18"/>
                <w:szCs w:val="18"/>
              </w:rPr>
            </w:pPr>
          </w:p>
        </w:tc>
        <w:tc>
          <w:tcPr>
            <w:tcW w:w="709" w:type="pct"/>
            <w:vMerge/>
            <w:vAlign w:val="center"/>
          </w:tcPr>
          <w:p w:rsidR="00403CD6" w:rsidRDefault="00403CD6">
            <w:pPr>
              <w:widowControl/>
              <w:rPr>
                <w:rFonts w:ascii="宋体" w:eastAsia="宋体" w:hAnsi="宋体" w:cs="宋体"/>
                <w:sz w:val="18"/>
                <w:szCs w:val="18"/>
              </w:rPr>
            </w:pPr>
          </w:p>
        </w:tc>
        <w:tc>
          <w:tcPr>
            <w:tcW w:w="70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计提</w:t>
            </w:r>
          </w:p>
        </w:tc>
        <w:tc>
          <w:tcPr>
            <w:tcW w:w="70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收回或转回</w:t>
            </w:r>
          </w:p>
        </w:tc>
        <w:tc>
          <w:tcPr>
            <w:tcW w:w="70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转销或核销</w:t>
            </w:r>
          </w:p>
        </w:tc>
        <w:tc>
          <w:tcPr>
            <w:tcW w:w="70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其他</w:t>
            </w:r>
          </w:p>
        </w:tc>
        <w:tc>
          <w:tcPr>
            <w:tcW w:w="749" w:type="pct"/>
            <w:vMerge/>
            <w:vAlign w:val="center"/>
          </w:tcPr>
          <w:p w:rsidR="00403CD6" w:rsidRDefault="00403CD6">
            <w:pPr>
              <w:widowControl/>
              <w:rPr>
                <w:rFonts w:ascii="宋体" w:eastAsia="宋体" w:hAnsi="宋体" w:cs="宋体"/>
                <w:sz w:val="18"/>
                <w:szCs w:val="18"/>
              </w:rPr>
            </w:pPr>
          </w:p>
        </w:tc>
      </w:tr>
      <w:tr w:rsidR="00403CD6">
        <w:trPr>
          <w:trHeight w:val="284"/>
        </w:trPr>
        <w:tc>
          <w:tcPr>
            <w:tcW w:w="709"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坏账准备</w:t>
            </w:r>
          </w:p>
        </w:tc>
        <w:tc>
          <w:tcPr>
            <w:tcW w:w="70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509,935,677.87</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990,203,590.69</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44,945,296.90</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c>
          <w:tcPr>
            <w:tcW w:w="70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-1,413,163.36</w:t>
            </w:r>
          </w:p>
        </w:tc>
        <w:tc>
          <w:tcPr>
            <w:tcW w:w="74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1,453,780,808.30</w:t>
            </w:r>
          </w:p>
        </w:tc>
      </w:tr>
      <w:tr w:rsidR="00403CD6">
        <w:trPr>
          <w:trHeight w:val="284"/>
        </w:trPr>
        <w:tc>
          <w:tcPr>
            <w:tcW w:w="70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合计</w:t>
            </w:r>
          </w:p>
        </w:tc>
        <w:tc>
          <w:tcPr>
            <w:tcW w:w="70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509,935,677.87</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990,203,590.69</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44,945,296.90</w:t>
            </w:r>
          </w:p>
        </w:tc>
        <w:tc>
          <w:tcPr>
            <w:tcW w:w="708"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 xml:space="preserve">　</w:t>
            </w:r>
          </w:p>
        </w:tc>
        <w:tc>
          <w:tcPr>
            <w:tcW w:w="70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-1,413,163.36</w:t>
            </w:r>
          </w:p>
        </w:tc>
        <w:tc>
          <w:tcPr>
            <w:tcW w:w="749" w:type="pct"/>
            <w:vAlign w:val="center"/>
          </w:tcPr>
          <w:p w:rsidR="00403CD6" w:rsidRDefault="00E91A59">
            <w:pPr>
              <w:spacing w:line="240" w:lineRule="exact"/>
              <w:jc w:val="right"/>
              <w:rPr>
                <w:rFonts w:ascii="宋体" w:eastAsia="宋体" w:hAnsi="宋体" w:cs="宋体"/>
                <w:sz w:val="18"/>
                <w:szCs w:val="18"/>
              </w:rPr>
            </w:pPr>
            <w:r>
              <w:rPr>
                <w:rFonts w:ascii="Times New Roman" w:hAnsi="Times New Roman" w:cs="Times New Roman"/>
                <w:color w:val="000000"/>
                <w:sz w:val="18"/>
                <w:szCs w:val="18"/>
              </w:rPr>
              <w:t>1,453,780,808.30</w:t>
            </w:r>
          </w:p>
        </w:tc>
      </w:tr>
    </w:tbl>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说明：“其他变动”中包含处置子公司减少的坏账</w:t>
      </w:r>
      <w:r>
        <w:rPr>
          <w:rFonts w:ascii="Times New Roman" w:hAnsi="Times New Roman" w:cs="Times New Roman" w:hint="eastAsia"/>
          <w:color w:val="000000"/>
          <w:sz w:val="18"/>
          <w:szCs w:val="18"/>
        </w:rPr>
        <w:t>19,000.00</w:t>
      </w:r>
      <w:r>
        <w:rPr>
          <w:rFonts w:ascii="宋体" w:eastAsia="宋体" w:hAnsi="宋体" w:cs="宋体" w:hint="eastAsia"/>
          <w:color w:val="000000"/>
          <w:kern w:val="0"/>
          <w:sz w:val="18"/>
          <w:szCs w:val="18"/>
        </w:rPr>
        <w:t>元，以及汇率变动原因减少的坏账</w:t>
      </w:r>
      <w:r>
        <w:rPr>
          <w:rFonts w:ascii="Times New Roman" w:hAnsi="Times New Roman" w:cs="Times New Roman" w:hint="eastAsia"/>
          <w:color w:val="000000"/>
          <w:sz w:val="18"/>
          <w:szCs w:val="18"/>
        </w:rPr>
        <w:t>1,394,163.36</w:t>
      </w:r>
      <w:r>
        <w:rPr>
          <w:rFonts w:ascii="宋体" w:eastAsia="宋体" w:hAnsi="宋体" w:cs="宋体" w:hint="eastAsia"/>
          <w:color w:val="000000"/>
          <w:kern w:val="0"/>
          <w:sz w:val="18"/>
          <w:szCs w:val="18"/>
        </w:rPr>
        <w:t>元。</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b/>
          <w:bCs/>
          <w:szCs w:val="21"/>
        </w:rPr>
        <w:t>5</w:t>
      </w:r>
      <w:r>
        <w:rPr>
          <w:rFonts w:ascii="宋体" w:eastAsia="宋体" w:hAnsi="宋体" w:cs="宋体" w:hint="eastAsia"/>
          <w:b/>
          <w:bCs/>
          <w:szCs w:val="21"/>
        </w:rPr>
        <w:t>） 按欠款方归集的期末余额前五名的其他应收款情况</w:t>
      </w:r>
    </w:p>
    <w:p w:rsidR="00403CD6" w:rsidRDefault="00E91A59">
      <w:pPr>
        <w:spacing w:before="40" w:after="40" w:line="240" w:lineRule="exact"/>
        <w:ind w:firstLineChars="200" w:firstLine="360"/>
        <w:rPr>
          <w:rFonts w:ascii="Times New Roman" w:hAnsi="Times New Roman" w:cs="Times New Roman"/>
          <w:sz w:val="18"/>
          <w:szCs w:val="18"/>
        </w:rPr>
      </w:pPr>
      <w:r>
        <w:rPr>
          <w:rFonts w:ascii="Times New Roman" w:hAnsi="Times New Roman" w:cs="Times New Roman" w:hint="eastAsia"/>
          <w:sz w:val="18"/>
          <w:szCs w:val="18"/>
        </w:rPr>
        <w:t>本期按欠款方归集的期末余额前五名其他应收款汇总金额</w:t>
      </w:r>
      <w:r>
        <w:rPr>
          <w:rFonts w:ascii="Times New Roman" w:hAnsi="Times New Roman" w:cs="Times New Roman" w:hint="eastAsia"/>
          <w:sz w:val="18"/>
          <w:szCs w:val="18"/>
        </w:rPr>
        <w:t>1,697,890,764.48</w:t>
      </w:r>
      <w:r>
        <w:rPr>
          <w:rFonts w:ascii="Times New Roman" w:hAnsi="Times New Roman" w:cs="Times New Roman" w:hint="eastAsia"/>
          <w:sz w:val="18"/>
          <w:szCs w:val="18"/>
        </w:rPr>
        <w:t>元，占其他应收款期末余额合计数的比例</w:t>
      </w:r>
      <w:r>
        <w:rPr>
          <w:rFonts w:ascii="Times New Roman" w:hAnsi="Times New Roman" w:cs="Times New Roman"/>
          <w:sz w:val="18"/>
          <w:szCs w:val="18"/>
        </w:rPr>
        <w:t>66.28</w:t>
      </w:r>
      <w:r>
        <w:rPr>
          <w:rFonts w:ascii="Times New Roman" w:hAnsi="Times New Roman" w:cs="Times New Roman" w:hint="eastAsia"/>
          <w:sz w:val="18"/>
          <w:szCs w:val="18"/>
        </w:rPr>
        <w:t>%</w:t>
      </w:r>
      <w:r>
        <w:rPr>
          <w:rFonts w:ascii="Times New Roman" w:hAnsi="Times New Roman" w:cs="Times New Roman" w:hint="eastAsia"/>
          <w:sz w:val="18"/>
          <w:szCs w:val="18"/>
        </w:rPr>
        <w:t>，相应计提的坏账准备期末余额汇总金额</w:t>
      </w:r>
      <w:r>
        <w:rPr>
          <w:rFonts w:ascii="Times New Roman" w:hAnsi="Times New Roman" w:cs="Times New Roman"/>
          <w:sz w:val="18"/>
          <w:szCs w:val="18"/>
        </w:rPr>
        <w:t>996,094,469.96</w:t>
      </w:r>
      <w:r>
        <w:rPr>
          <w:rFonts w:ascii="Times New Roman" w:hAnsi="Times New Roman" w:cs="Times New Roman" w:hint="eastAsia"/>
          <w:sz w:val="18"/>
          <w:szCs w:val="18"/>
        </w:rPr>
        <w:t>元。</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4"/>
        <w:gridCol w:w="1168"/>
        <w:gridCol w:w="1478"/>
        <w:gridCol w:w="1478"/>
        <w:gridCol w:w="1480"/>
        <w:gridCol w:w="2465"/>
      </w:tblGrid>
      <w:tr w:rsidR="00403CD6">
        <w:trPr>
          <w:trHeight w:val="284"/>
        </w:trPr>
        <w:tc>
          <w:tcPr>
            <w:tcW w:w="90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单位名称</w:t>
            </w:r>
          </w:p>
        </w:tc>
        <w:tc>
          <w:tcPr>
            <w:tcW w:w="5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款项的性质</w:t>
            </w:r>
          </w:p>
        </w:tc>
        <w:tc>
          <w:tcPr>
            <w:tcW w:w="7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7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账龄</w:t>
            </w:r>
          </w:p>
        </w:tc>
        <w:tc>
          <w:tcPr>
            <w:tcW w:w="7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占其他应收款期末余额合计数的比例</w:t>
            </w:r>
          </w:p>
        </w:tc>
        <w:tc>
          <w:tcPr>
            <w:tcW w:w="12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坏账准备期末余额</w:t>
            </w:r>
          </w:p>
        </w:tc>
      </w:tr>
      <w:tr w:rsidR="00403CD6">
        <w:trPr>
          <w:trHeight w:val="284"/>
        </w:trPr>
        <w:tc>
          <w:tcPr>
            <w:tcW w:w="90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w:t>
            </w:r>
            <w:proofErr w:type="gramStart"/>
            <w:r>
              <w:rPr>
                <w:rFonts w:ascii="Times New Roman" w:hAnsi="Times New Roman" w:cs="Times New Roman" w:hint="eastAsia"/>
                <w:color w:val="000000"/>
                <w:sz w:val="18"/>
                <w:szCs w:val="18"/>
              </w:rPr>
              <w:t>一</w:t>
            </w:r>
            <w:proofErr w:type="gramEnd"/>
          </w:p>
        </w:tc>
        <w:tc>
          <w:tcPr>
            <w:tcW w:w="5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债权转让款</w:t>
            </w: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472,854,783.56</w:t>
            </w:r>
          </w:p>
        </w:tc>
        <w:tc>
          <w:tcPr>
            <w:tcW w:w="7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4-5</w:t>
            </w:r>
            <w:r>
              <w:rPr>
                <w:rFonts w:ascii="Times New Roman" w:hAnsi="Times New Roman" w:cs="Times New Roman"/>
                <w:color w:val="000000"/>
                <w:sz w:val="18"/>
                <w:szCs w:val="18"/>
              </w:rPr>
              <w:t>年</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18.46</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332,202,672.36</w:t>
            </w:r>
          </w:p>
        </w:tc>
      </w:tr>
      <w:tr w:rsidR="00403CD6">
        <w:trPr>
          <w:trHeight w:val="284"/>
        </w:trPr>
        <w:tc>
          <w:tcPr>
            <w:tcW w:w="90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客户二</w:t>
            </w:r>
          </w:p>
        </w:tc>
        <w:tc>
          <w:tcPr>
            <w:tcW w:w="5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债权转让款</w:t>
            </w: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453,002,316.85</w:t>
            </w:r>
          </w:p>
        </w:tc>
        <w:tc>
          <w:tcPr>
            <w:tcW w:w="7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5</w:t>
            </w:r>
            <w:r>
              <w:rPr>
                <w:rFonts w:ascii="Times New Roman" w:hAnsi="Times New Roman" w:cs="Times New Roman"/>
                <w:color w:val="000000"/>
                <w:sz w:val="18"/>
                <w:szCs w:val="18"/>
              </w:rPr>
              <w:t>年以上</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17.68</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181,200,926.74</w:t>
            </w:r>
          </w:p>
        </w:tc>
      </w:tr>
      <w:tr w:rsidR="00403CD6">
        <w:trPr>
          <w:trHeight w:val="284"/>
        </w:trPr>
        <w:tc>
          <w:tcPr>
            <w:tcW w:w="90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客户三</w:t>
            </w:r>
          </w:p>
        </w:tc>
        <w:tc>
          <w:tcPr>
            <w:tcW w:w="5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债权转让款</w:t>
            </w: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390,000,000.00</w:t>
            </w:r>
          </w:p>
        </w:tc>
        <w:tc>
          <w:tcPr>
            <w:tcW w:w="7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1-2</w:t>
            </w:r>
            <w:r>
              <w:rPr>
                <w:rFonts w:ascii="Times New Roman" w:hAnsi="Times New Roman" w:cs="Times New Roman"/>
                <w:color w:val="000000"/>
                <w:sz w:val="18"/>
                <w:szCs w:val="18"/>
              </w:rPr>
              <w:t>年</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15.22</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390,000,000.00</w:t>
            </w:r>
          </w:p>
        </w:tc>
      </w:tr>
      <w:tr w:rsidR="00403CD6">
        <w:trPr>
          <w:trHeight w:val="284"/>
        </w:trPr>
        <w:tc>
          <w:tcPr>
            <w:tcW w:w="90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客户四</w:t>
            </w:r>
          </w:p>
        </w:tc>
        <w:tc>
          <w:tcPr>
            <w:tcW w:w="5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往来款</w:t>
            </w: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238,093,358.44</w:t>
            </w:r>
          </w:p>
        </w:tc>
        <w:tc>
          <w:tcPr>
            <w:tcW w:w="7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1-2</w:t>
            </w:r>
            <w:r>
              <w:rPr>
                <w:rFonts w:ascii="Times New Roman" w:hAnsi="Times New Roman" w:cs="Times New Roman"/>
                <w:color w:val="000000"/>
                <w:sz w:val="18"/>
                <w:szCs w:val="18"/>
              </w:rPr>
              <w:t>年</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9.29</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13,523,702.76</w:t>
            </w:r>
          </w:p>
        </w:tc>
      </w:tr>
      <w:tr w:rsidR="00403CD6">
        <w:trPr>
          <w:trHeight w:val="284"/>
        </w:trPr>
        <w:tc>
          <w:tcPr>
            <w:tcW w:w="905"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客户五</w:t>
            </w:r>
          </w:p>
        </w:tc>
        <w:tc>
          <w:tcPr>
            <w:tcW w:w="5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color w:val="000000"/>
                <w:sz w:val="18"/>
                <w:szCs w:val="18"/>
              </w:rPr>
              <w:t>财务资助</w:t>
            </w: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143,940,305.63</w:t>
            </w:r>
          </w:p>
        </w:tc>
        <w:tc>
          <w:tcPr>
            <w:tcW w:w="7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3-4</w:t>
            </w:r>
            <w:r>
              <w:rPr>
                <w:rFonts w:ascii="Times New Roman" w:hAnsi="Times New Roman" w:cs="Times New Roman"/>
                <w:color w:val="000000"/>
                <w:sz w:val="18"/>
                <w:szCs w:val="18"/>
              </w:rPr>
              <w:t>年</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5.62</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79,167,168.10</w:t>
            </w:r>
          </w:p>
        </w:tc>
      </w:tr>
      <w:tr w:rsidR="00403CD6">
        <w:trPr>
          <w:trHeight w:val="284"/>
        </w:trPr>
        <w:tc>
          <w:tcPr>
            <w:tcW w:w="90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592" w:type="pct"/>
            <w:shd w:val="clear" w:color="auto" w:fill="D3D3D3"/>
            <w:vAlign w:val="center"/>
          </w:tcPr>
          <w:p w:rsidR="00403CD6" w:rsidRDefault="00403CD6">
            <w:pPr>
              <w:rPr>
                <w:rFonts w:ascii="Times New Roman" w:hAnsi="Times New Roman" w:cs="Times New Roman"/>
              </w:rPr>
            </w:pPr>
          </w:p>
        </w:tc>
        <w:tc>
          <w:tcPr>
            <w:tcW w:w="7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1,697,890,764.48</w:t>
            </w:r>
          </w:p>
        </w:tc>
        <w:tc>
          <w:tcPr>
            <w:tcW w:w="750"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Cs w:val="21"/>
              </w:rPr>
              <w:t xml:space="preserve">　</w:t>
            </w:r>
          </w:p>
        </w:tc>
        <w:tc>
          <w:tcPr>
            <w:tcW w:w="7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66.28</w:t>
            </w:r>
          </w:p>
        </w:tc>
        <w:tc>
          <w:tcPr>
            <w:tcW w:w="12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996,094,469.96</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7、预付款项</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预付</w:t>
      </w:r>
      <w:proofErr w:type="gramStart"/>
      <w:r>
        <w:rPr>
          <w:rFonts w:ascii="宋体" w:eastAsia="宋体" w:hAnsi="宋体" w:cs="宋体" w:hint="eastAsia"/>
          <w:b/>
          <w:bCs/>
          <w:szCs w:val="21"/>
        </w:rPr>
        <w:t>款项按账龄</w:t>
      </w:r>
      <w:proofErr w:type="gramEnd"/>
      <w:r>
        <w:rPr>
          <w:rFonts w:ascii="宋体" w:eastAsia="宋体" w:hAnsi="宋体" w:cs="宋体" w:hint="eastAsia"/>
          <w:b/>
          <w:bCs/>
          <w:szCs w:val="21"/>
        </w:rPr>
        <w:t>列示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100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账龄</w:t>
            </w:r>
          </w:p>
        </w:tc>
        <w:tc>
          <w:tcPr>
            <w:tcW w:w="2000"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000"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000" w:type="pct"/>
            <w:vMerge/>
            <w:vAlign w:val="center"/>
          </w:tcPr>
          <w:p w:rsidR="00403CD6" w:rsidRDefault="00403CD6">
            <w:pPr>
              <w:widowControl/>
              <w:rPr>
                <w:rFonts w:ascii="Times New Roman" w:eastAsia="宋体" w:hAnsi="Times New Roman" w:cs="Times New Roman"/>
                <w:sz w:val="18"/>
                <w:szCs w:val="18"/>
              </w:rPr>
            </w:pP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cs="Times New Roman" w:hint="eastAsia"/>
                <w:color w:val="000000"/>
                <w:sz w:val="18"/>
                <w:szCs w:val="18"/>
              </w:rPr>
              <w:t>年以内</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592,705,315.78</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93.80</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790,687,918.61</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95.83</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w:t>
            </w:r>
            <w:r>
              <w:rPr>
                <w:rFonts w:cs="Times New Roman" w:hint="eastAsia"/>
                <w:color w:val="000000"/>
                <w:sz w:val="18"/>
                <w:szCs w:val="18"/>
              </w:rPr>
              <w:t>至</w:t>
            </w:r>
            <w:r>
              <w:rPr>
                <w:rFonts w:ascii="Times New Roman" w:hAnsi="Times New Roman" w:cs="Times New Roman"/>
                <w:color w:val="000000"/>
                <w:sz w:val="18"/>
                <w:szCs w:val="18"/>
              </w:rPr>
              <w:t>2</w:t>
            </w:r>
            <w:r>
              <w:rPr>
                <w:rFonts w:ascii="Times New Roman" w:hAnsi="Times New Roman" w:cs="Times New Roman"/>
                <w:color w:val="000000"/>
                <w:sz w:val="18"/>
                <w:szCs w:val="18"/>
              </w:rPr>
              <w:t>年</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39,188,179.36</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6.20</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34,447,237.60</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4.17</w:t>
            </w:r>
          </w:p>
        </w:tc>
      </w:tr>
      <w:tr w:rsidR="00403CD6">
        <w:trPr>
          <w:trHeight w:val="284"/>
        </w:trPr>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合计</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631,893,495.14</w:t>
            </w:r>
          </w:p>
        </w:tc>
        <w:tc>
          <w:tcPr>
            <w:tcW w:w="1000" w:type="pct"/>
            <w:shd w:val="clear" w:color="auto" w:fill="D3D3D3"/>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100</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825,135,156.21</w:t>
            </w:r>
          </w:p>
        </w:tc>
        <w:tc>
          <w:tcPr>
            <w:tcW w:w="1000" w:type="pct"/>
            <w:shd w:val="clear" w:color="auto" w:fill="D3D3D3"/>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100</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按预付对象归集的期末余额前五名的预付款情况</w:t>
      </w:r>
    </w:p>
    <w:p w:rsidR="00403CD6" w:rsidRDefault="00E91A59">
      <w:pPr>
        <w:tabs>
          <w:tab w:val="left" w:pos="9030"/>
        </w:tabs>
        <w:snapToGrid w:val="0"/>
        <w:spacing w:beforeLines="50" w:before="156" w:afterLines="90" w:after="280"/>
        <w:ind w:firstLineChars="200" w:firstLine="360"/>
        <w:rPr>
          <w:rFonts w:ascii="Times New Roman" w:hAnsi="Times New Roman" w:cs="Times New Roman"/>
          <w:sz w:val="18"/>
          <w:szCs w:val="18"/>
        </w:rPr>
      </w:pPr>
      <w:r>
        <w:rPr>
          <w:rFonts w:ascii="Times New Roman" w:hAnsi="Times New Roman" w:cs="Times New Roman" w:hint="eastAsia"/>
          <w:sz w:val="18"/>
          <w:szCs w:val="18"/>
        </w:rPr>
        <w:t>本期按预付对象归集的期末余额前五名预付款项汇总金额</w:t>
      </w:r>
      <w:r>
        <w:rPr>
          <w:rFonts w:ascii="Times New Roman" w:hAnsi="Times New Roman" w:cs="Times New Roman" w:hint="eastAsia"/>
          <w:sz w:val="18"/>
          <w:szCs w:val="18"/>
        </w:rPr>
        <w:t>228,850,872.41</w:t>
      </w:r>
      <w:r>
        <w:rPr>
          <w:rFonts w:ascii="Times New Roman" w:hAnsi="Times New Roman" w:cs="Times New Roman" w:hint="eastAsia"/>
          <w:sz w:val="18"/>
          <w:szCs w:val="18"/>
        </w:rPr>
        <w:t>元，占预付款项期末余额合计数的比例</w:t>
      </w:r>
      <w:r>
        <w:rPr>
          <w:rFonts w:ascii="Times New Roman" w:hAnsi="Times New Roman" w:cs="Times New Roman"/>
          <w:sz w:val="18"/>
          <w:szCs w:val="18"/>
        </w:rPr>
        <w:t>36.22</w:t>
      </w:r>
      <w:r>
        <w:rPr>
          <w:rFonts w:ascii="Times New Roman" w:hAnsi="Times New Roman" w:cs="Times New Roman" w:hint="eastAsia"/>
          <w:sz w:val="18"/>
          <w:szCs w:val="18"/>
        </w:rPr>
        <w:t>%</w:t>
      </w:r>
      <w:r>
        <w:rPr>
          <w:rFonts w:ascii="Times New Roman" w:hAnsi="Times New Roman" w:cs="Times New Roman" w:hint="eastAsia"/>
          <w:sz w:val="18"/>
          <w:szCs w:val="18"/>
        </w:rPr>
        <w:t>。</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2637"/>
        <w:gridCol w:w="3585"/>
        <w:gridCol w:w="3585"/>
      </w:tblGrid>
      <w:tr w:rsidR="00403CD6">
        <w:trPr>
          <w:cantSplit/>
          <w:trHeight w:val="284"/>
          <w:tblHeader/>
          <w:jc w:val="center"/>
        </w:trPr>
        <w:tc>
          <w:tcPr>
            <w:tcW w:w="1344" w:type="pct"/>
            <w:shd w:val="clear" w:color="auto" w:fill="D9D9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kern w:val="0"/>
                <w:sz w:val="18"/>
                <w:szCs w:val="18"/>
              </w:rPr>
              <w:t>单位名称</w:t>
            </w:r>
          </w:p>
        </w:tc>
        <w:tc>
          <w:tcPr>
            <w:tcW w:w="1828" w:type="pct"/>
            <w:shd w:val="clear" w:color="auto" w:fill="D9D9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kern w:val="0"/>
                <w:sz w:val="18"/>
                <w:szCs w:val="18"/>
              </w:rPr>
              <w:t>预付款项期末余额</w:t>
            </w:r>
          </w:p>
        </w:tc>
        <w:tc>
          <w:tcPr>
            <w:tcW w:w="1828" w:type="pct"/>
            <w:shd w:val="clear" w:color="auto" w:fill="D9D9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kern w:val="0"/>
                <w:sz w:val="18"/>
                <w:szCs w:val="18"/>
              </w:rPr>
              <w:t>占预付款项期末余额合计数的比例</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r>
              <w:rPr>
                <w:rFonts w:ascii="Times New Roman" w:hAnsi="Times New Roman" w:cs="Times New Roman" w:hint="eastAsia"/>
                <w:kern w:val="0"/>
                <w:sz w:val="18"/>
                <w:szCs w:val="18"/>
              </w:rPr>
              <w:t>）</w:t>
            </w:r>
          </w:p>
        </w:tc>
      </w:tr>
      <w:tr w:rsidR="00403CD6">
        <w:trPr>
          <w:cantSplit/>
          <w:trHeight w:val="284"/>
          <w:jc w:val="center"/>
        </w:trPr>
        <w:tc>
          <w:tcPr>
            <w:tcW w:w="1344" w:type="pct"/>
            <w:vAlign w:val="center"/>
          </w:tcPr>
          <w:p w:rsidR="00403CD6" w:rsidRDefault="00E91A59">
            <w:pPr>
              <w:jc w:val="center"/>
              <w:rPr>
                <w:rFonts w:ascii="宋体" w:eastAsia="宋体" w:hAnsi="宋体" w:cs="Times New Roman"/>
                <w:sz w:val="18"/>
                <w:szCs w:val="18"/>
              </w:rPr>
            </w:pPr>
            <w:r>
              <w:rPr>
                <w:rFonts w:ascii="Times New Roman" w:hAnsi="Times New Roman" w:cs="Times New Roman" w:hint="eastAsia"/>
                <w:color w:val="000000"/>
                <w:sz w:val="18"/>
                <w:szCs w:val="18"/>
              </w:rPr>
              <w:t>客户</w:t>
            </w:r>
            <w:proofErr w:type="gramStart"/>
            <w:r>
              <w:rPr>
                <w:rFonts w:ascii="Times New Roman" w:hAnsi="Times New Roman" w:cs="Times New Roman" w:hint="eastAsia"/>
                <w:color w:val="000000"/>
                <w:sz w:val="18"/>
                <w:szCs w:val="18"/>
              </w:rPr>
              <w:t>一</w:t>
            </w:r>
            <w:proofErr w:type="gramEnd"/>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55,668,669.56</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8.81</w:t>
            </w:r>
          </w:p>
        </w:tc>
      </w:tr>
      <w:tr w:rsidR="00403CD6">
        <w:trPr>
          <w:cantSplit/>
          <w:trHeight w:val="284"/>
          <w:jc w:val="center"/>
        </w:trPr>
        <w:tc>
          <w:tcPr>
            <w:tcW w:w="1344" w:type="pct"/>
            <w:vAlign w:val="center"/>
          </w:tcPr>
          <w:p w:rsidR="00403CD6" w:rsidRDefault="00E91A59">
            <w:pPr>
              <w:jc w:val="center"/>
              <w:rPr>
                <w:rFonts w:ascii="宋体" w:eastAsia="宋体" w:hAnsi="宋体" w:cs="Times New Roman"/>
                <w:sz w:val="18"/>
                <w:szCs w:val="18"/>
              </w:rPr>
            </w:pPr>
            <w:r>
              <w:rPr>
                <w:rFonts w:ascii="Times New Roman" w:hAnsi="Times New Roman" w:cs="Times New Roman" w:hint="eastAsia"/>
                <w:color w:val="000000"/>
                <w:sz w:val="18"/>
                <w:szCs w:val="18"/>
              </w:rPr>
              <w:t>客户二</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52,889,218.97</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8.37</w:t>
            </w:r>
          </w:p>
        </w:tc>
      </w:tr>
      <w:tr w:rsidR="00403CD6">
        <w:trPr>
          <w:cantSplit/>
          <w:trHeight w:val="284"/>
          <w:jc w:val="center"/>
        </w:trPr>
        <w:tc>
          <w:tcPr>
            <w:tcW w:w="1344" w:type="pct"/>
            <w:vAlign w:val="center"/>
          </w:tcPr>
          <w:p w:rsidR="00403CD6" w:rsidRDefault="00E91A59">
            <w:pPr>
              <w:jc w:val="center"/>
              <w:rPr>
                <w:rFonts w:ascii="宋体" w:eastAsia="宋体" w:hAnsi="宋体" w:cs="Times New Roman"/>
                <w:sz w:val="18"/>
                <w:szCs w:val="18"/>
              </w:rPr>
            </w:pPr>
            <w:r>
              <w:rPr>
                <w:rFonts w:ascii="Times New Roman" w:hAnsi="Times New Roman" w:cs="Times New Roman" w:hint="eastAsia"/>
                <w:color w:val="000000"/>
                <w:sz w:val="18"/>
                <w:szCs w:val="18"/>
              </w:rPr>
              <w:t>客户三</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52,234,915.42</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8.27</w:t>
            </w:r>
          </w:p>
        </w:tc>
      </w:tr>
      <w:tr w:rsidR="00403CD6">
        <w:trPr>
          <w:cantSplit/>
          <w:trHeight w:val="284"/>
          <w:jc w:val="center"/>
        </w:trPr>
        <w:tc>
          <w:tcPr>
            <w:tcW w:w="1344" w:type="pct"/>
            <w:vAlign w:val="center"/>
          </w:tcPr>
          <w:p w:rsidR="00403CD6" w:rsidRDefault="00E91A59">
            <w:pPr>
              <w:jc w:val="center"/>
              <w:rPr>
                <w:rFonts w:ascii="宋体" w:eastAsia="宋体" w:hAnsi="宋体" w:cs="Times New Roman"/>
                <w:sz w:val="18"/>
                <w:szCs w:val="18"/>
              </w:rPr>
            </w:pPr>
            <w:r>
              <w:rPr>
                <w:rFonts w:ascii="Times New Roman" w:hAnsi="Times New Roman" w:cs="Times New Roman" w:hint="eastAsia"/>
                <w:color w:val="000000"/>
                <w:sz w:val="18"/>
                <w:szCs w:val="18"/>
              </w:rPr>
              <w:t>客户四</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39,241,698.45</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6.21</w:t>
            </w:r>
          </w:p>
        </w:tc>
      </w:tr>
      <w:tr w:rsidR="00403CD6">
        <w:trPr>
          <w:cantSplit/>
          <w:trHeight w:val="284"/>
          <w:jc w:val="center"/>
        </w:trPr>
        <w:tc>
          <w:tcPr>
            <w:tcW w:w="1344" w:type="pct"/>
            <w:vAlign w:val="center"/>
          </w:tcPr>
          <w:p w:rsidR="00403CD6" w:rsidRDefault="00E91A59">
            <w:pPr>
              <w:jc w:val="center"/>
              <w:rPr>
                <w:rFonts w:ascii="宋体" w:eastAsia="宋体" w:hAnsi="宋体" w:cs="Times New Roman"/>
                <w:sz w:val="18"/>
                <w:szCs w:val="18"/>
              </w:rPr>
            </w:pPr>
            <w:r>
              <w:rPr>
                <w:rFonts w:ascii="Times New Roman" w:hAnsi="Times New Roman" w:cs="Times New Roman" w:hint="eastAsia"/>
                <w:color w:val="000000"/>
                <w:sz w:val="18"/>
                <w:szCs w:val="18"/>
              </w:rPr>
              <w:t>客户五</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28,816,370.01</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4.56</w:t>
            </w:r>
          </w:p>
        </w:tc>
      </w:tr>
      <w:tr w:rsidR="00403CD6">
        <w:trPr>
          <w:cantSplit/>
          <w:trHeight w:val="284"/>
          <w:jc w:val="center"/>
        </w:trPr>
        <w:tc>
          <w:tcPr>
            <w:tcW w:w="1344" w:type="pct"/>
            <w:shd w:val="clear" w:color="auto" w:fill="D9D9D9" w:themeFill="background1" w:themeFillShade="D9"/>
            <w:vAlign w:val="center"/>
          </w:tcPr>
          <w:p w:rsidR="00403CD6" w:rsidRDefault="00E91A59">
            <w:pPr>
              <w:jc w:val="center"/>
              <w:rPr>
                <w:rFonts w:ascii="宋体" w:eastAsia="宋体" w:hAnsi="宋体" w:cs="Times New Roman"/>
                <w:sz w:val="18"/>
                <w:szCs w:val="18"/>
              </w:rPr>
            </w:pPr>
            <w:r>
              <w:rPr>
                <w:rFonts w:ascii="宋体" w:eastAsia="宋体" w:hAnsi="宋体"/>
                <w:bCs/>
                <w:sz w:val="18"/>
                <w:szCs w:val="18"/>
              </w:rPr>
              <w:t>合计</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228,850,872.41</w:t>
            </w:r>
          </w:p>
        </w:tc>
        <w:tc>
          <w:tcPr>
            <w:tcW w:w="1828"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color w:val="000000"/>
                <w:sz w:val="18"/>
                <w:szCs w:val="18"/>
              </w:rPr>
              <w:t>36.22</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8、存货</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公司是否需要遵守房地产行业的披露要求</w:t>
      </w:r>
    </w:p>
    <w:p w:rsidR="00403CD6" w:rsidRDefault="00E91A59">
      <w:pPr>
        <w:spacing w:line="240" w:lineRule="exact"/>
        <w:rPr>
          <w:rFonts w:ascii="Times New Roman" w:hAnsi="Times New Roman" w:cs="Times New Roman"/>
          <w:sz w:val="18"/>
          <w:szCs w:val="18"/>
        </w:rPr>
      </w:pPr>
      <w:proofErr w:type="gramStart"/>
      <w:r>
        <w:rPr>
          <w:rFonts w:ascii="Times New Roman" w:hAnsi="Times New Roman" w:cs="Times New Roman"/>
          <w:sz w:val="18"/>
          <w:szCs w:val="18"/>
        </w:rPr>
        <w:t>否</w:t>
      </w:r>
      <w:proofErr w:type="gramEnd"/>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存货分类</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361"/>
        <w:gridCol w:w="1386"/>
        <w:gridCol w:w="1295"/>
        <w:gridCol w:w="1452"/>
        <w:gridCol w:w="1452"/>
        <w:gridCol w:w="1295"/>
        <w:gridCol w:w="1452"/>
      </w:tblGrid>
      <w:tr w:rsidR="00403CD6">
        <w:trPr>
          <w:trHeight w:val="284"/>
        </w:trPr>
        <w:tc>
          <w:tcPr>
            <w:tcW w:w="70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132"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166"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702" w:type="pct"/>
            <w:vMerge/>
            <w:vAlign w:val="center"/>
          </w:tcPr>
          <w:p w:rsidR="00403CD6" w:rsidRDefault="00403CD6">
            <w:pPr>
              <w:widowControl/>
              <w:rPr>
                <w:rFonts w:ascii="Times New Roman" w:eastAsia="宋体" w:hAnsi="Times New Roman" w:cs="Times New Roman"/>
                <w:sz w:val="18"/>
                <w:szCs w:val="18"/>
              </w:rPr>
            </w:pP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存货跌价准备或合同履约成本减值准备</w:t>
            </w:r>
          </w:p>
        </w:tc>
        <w:tc>
          <w:tcPr>
            <w:tcW w:w="7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存货跌价准备或合同履约成本减值准备</w:t>
            </w:r>
          </w:p>
        </w:tc>
        <w:tc>
          <w:tcPr>
            <w:tcW w:w="7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70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原材料</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1,225,049,193.59</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15,709,012.21</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1,209,340,181.38</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1,977,478,797.85</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18,030,837.14</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1,959,447,960.71</w:t>
            </w:r>
          </w:p>
        </w:tc>
      </w:tr>
      <w:tr w:rsidR="00403CD6">
        <w:trPr>
          <w:trHeight w:val="284"/>
        </w:trPr>
        <w:tc>
          <w:tcPr>
            <w:tcW w:w="70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在产品</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121,749,898.40</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121,749,898.40</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102,415,558.33</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102,415,558.33</w:t>
            </w:r>
          </w:p>
        </w:tc>
      </w:tr>
      <w:tr w:rsidR="00403CD6">
        <w:trPr>
          <w:trHeight w:val="284"/>
        </w:trPr>
        <w:tc>
          <w:tcPr>
            <w:tcW w:w="70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库存商品</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269,949,625.20</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22,030,676.68</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247,918,948.52</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1,413,366,440.57</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1,030,048.86</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1,412,336,391.71</w:t>
            </w:r>
          </w:p>
        </w:tc>
      </w:tr>
      <w:tr w:rsidR="00403CD6">
        <w:trPr>
          <w:trHeight w:val="284"/>
        </w:trPr>
        <w:tc>
          <w:tcPr>
            <w:tcW w:w="70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消耗性生物资产</w:t>
            </w:r>
          </w:p>
        </w:tc>
        <w:tc>
          <w:tcPr>
            <w:tcW w:w="715"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1,256,379,773.85</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49"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1,256,379,773.85</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1,483,978,089.61</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1,483,978,089.61</w:t>
            </w:r>
          </w:p>
        </w:tc>
      </w:tr>
      <w:tr w:rsidR="00403CD6">
        <w:trPr>
          <w:trHeight w:val="284"/>
        </w:trPr>
        <w:tc>
          <w:tcPr>
            <w:tcW w:w="70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715"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2,873,128,491.04</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37,739,688.89</w:t>
            </w:r>
          </w:p>
        </w:tc>
        <w:tc>
          <w:tcPr>
            <w:tcW w:w="749" w:type="pct"/>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2,835,388,802.15</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4,977,238,886.36</w:t>
            </w:r>
          </w:p>
        </w:tc>
        <w:tc>
          <w:tcPr>
            <w:tcW w:w="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19,060,886.00</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4,958,178,000.36</w:t>
            </w:r>
          </w:p>
        </w:tc>
      </w:tr>
    </w:tbl>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注：消耗性生物资产为林木资产。</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存货跌价准备和合同履约成本减值准备</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7"/>
        <w:gridCol w:w="1407"/>
        <w:gridCol w:w="1407"/>
        <w:gridCol w:w="1409"/>
        <w:gridCol w:w="1407"/>
        <w:gridCol w:w="1409"/>
        <w:gridCol w:w="1407"/>
      </w:tblGrid>
      <w:tr w:rsidR="00403CD6">
        <w:trPr>
          <w:trHeight w:val="284"/>
        </w:trPr>
        <w:tc>
          <w:tcPr>
            <w:tcW w:w="71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1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429"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本期增加金额</w:t>
            </w:r>
          </w:p>
        </w:tc>
        <w:tc>
          <w:tcPr>
            <w:tcW w:w="1429"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本期减少金额</w:t>
            </w:r>
          </w:p>
        </w:tc>
        <w:tc>
          <w:tcPr>
            <w:tcW w:w="71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714" w:type="pct"/>
            <w:vMerge/>
            <w:vAlign w:val="center"/>
          </w:tcPr>
          <w:p w:rsidR="00403CD6" w:rsidRDefault="00403CD6">
            <w:pPr>
              <w:widowControl/>
              <w:rPr>
                <w:rFonts w:ascii="Times New Roman" w:eastAsia="宋体" w:hAnsi="Times New Roman" w:cs="Times New Roman"/>
                <w:sz w:val="18"/>
                <w:szCs w:val="18"/>
              </w:rPr>
            </w:pPr>
          </w:p>
        </w:tc>
        <w:tc>
          <w:tcPr>
            <w:tcW w:w="714" w:type="pct"/>
            <w:vMerge/>
            <w:vAlign w:val="center"/>
          </w:tcPr>
          <w:p w:rsidR="00403CD6" w:rsidRDefault="00403CD6">
            <w:pPr>
              <w:widowControl/>
              <w:rPr>
                <w:rFonts w:ascii="Times New Roman" w:eastAsia="宋体" w:hAnsi="Times New Roman" w:cs="Times New Roman"/>
                <w:sz w:val="18"/>
                <w:szCs w:val="18"/>
              </w:rPr>
            </w:pP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转回或转销</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14"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71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原材料</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18,030,837.14</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2,321,824.93</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15,709,012.21</w:t>
            </w:r>
          </w:p>
        </w:tc>
      </w:tr>
      <w:tr w:rsidR="00403CD6">
        <w:trPr>
          <w:trHeight w:val="284"/>
        </w:trPr>
        <w:tc>
          <w:tcPr>
            <w:tcW w:w="71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库存商品</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1,030,048.86</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22,030,676.68</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1,030,048.86</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22,030,676.68</w:t>
            </w:r>
          </w:p>
        </w:tc>
      </w:tr>
      <w:tr w:rsidR="00403CD6">
        <w:trPr>
          <w:trHeight w:val="284"/>
        </w:trPr>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19,060,886.00</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22,030,676.68</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3,351,873.79</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37,739,688.89</w:t>
            </w:r>
          </w:p>
        </w:tc>
      </w:tr>
    </w:tbl>
    <w:p w:rsidR="00403CD6" w:rsidRDefault="00E91A59">
      <w:pPr>
        <w:keepNext/>
        <w:widowControl/>
        <w:snapToGrid w:val="0"/>
        <w:spacing w:beforeLines="50" w:before="156" w:afterLines="90" w:after="280"/>
        <w:rPr>
          <w:rFonts w:ascii="Times New Roman" w:hAnsi="Times New Roman" w:cs="Times New Roman"/>
          <w:sz w:val="18"/>
          <w:szCs w:val="18"/>
        </w:rPr>
      </w:pPr>
      <w:bookmarkStart w:id="58" w:name="_Toc989175"/>
      <w:r>
        <w:rPr>
          <w:rFonts w:ascii="Times New Roman" w:hAnsi="Times New Roman" w:cs="Times New Roman"/>
          <w:sz w:val="18"/>
          <w:szCs w:val="18"/>
        </w:rPr>
        <w:lastRenderedPageBreak/>
        <w:t>存货跌价准备及合同履约成本减值准备（续）</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1361"/>
        <w:gridCol w:w="4266"/>
        <w:gridCol w:w="4180"/>
      </w:tblGrid>
      <w:tr w:rsidR="00403CD6">
        <w:trPr>
          <w:cantSplit/>
          <w:trHeight w:val="340"/>
          <w:tblHeader/>
          <w:jc w:val="center"/>
        </w:trPr>
        <w:tc>
          <w:tcPr>
            <w:tcW w:w="694" w:type="pct"/>
            <w:shd w:val="clear" w:color="auto" w:fill="D9D9D9"/>
            <w:vAlign w:val="center"/>
          </w:tcPr>
          <w:p w:rsidR="00403CD6" w:rsidRDefault="00E91A59">
            <w:pPr>
              <w:autoSpaceDE w:val="0"/>
              <w:autoSpaceDN w:val="0"/>
              <w:adjustRightInd w:val="0"/>
              <w:snapToGrid w:val="0"/>
              <w:ind w:leftChars="-101" w:left="-212" w:firstLineChars="88" w:firstLine="158"/>
              <w:jc w:val="center"/>
              <w:rPr>
                <w:rFonts w:ascii="Times New Roman" w:hAnsi="Times New Roman" w:cs="Times New Roman"/>
                <w:bCs/>
                <w:sz w:val="18"/>
                <w:szCs w:val="18"/>
              </w:rPr>
            </w:pPr>
            <w:r>
              <w:rPr>
                <w:rFonts w:ascii="Times New Roman" w:hAnsi="Times New Roman" w:cs="Times New Roman"/>
                <w:sz w:val="18"/>
                <w:szCs w:val="18"/>
              </w:rPr>
              <w:t>项目</w:t>
            </w:r>
          </w:p>
        </w:tc>
        <w:tc>
          <w:tcPr>
            <w:tcW w:w="2175"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cs="Times New Roman"/>
                <w:bCs/>
                <w:sz w:val="18"/>
                <w:szCs w:val="18"/>
              </w:rPr>
            </w:pPr>
            <w:r>
              <w:rPr>
                <w:rFonts w:ascii="宋体" w:eastAsia="宋体" w:hAnsi="宋体"/>
                <w:bCs/>
                <w:sz w:val="18"/>
                <w:szCs w:val="18"/>
              </w:rPr>
              <w:t>确定可变现净值/剩余对价与将要发生的成本的具体依据</w:t>
            </w:r>
          </w:p>
        </w:tc>
        <w:tc>
          <w:tcPr>
            <w:tcW w:w="2131"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bCs/>
                <w:sz w:val="18"/>
                <w:szCs w:val="18"/>
              </w:rPr>
            </w:pPr>
            <w:r>
              <w:rPr>
                <w:rFonts w:ascii="宋体" w:eastAsia="宋体" w:hAnsi="宋体"/>
                <w:bCs/>
                <w:sz w:val="18"/>
                <w:szCs w:val="18"/>
              </w:rPr>
              <w:t>本期转回或转销</w:t>
            </w:r>
          </w:p>
          <w:p w:rsidR="00403CD6" w:rsidRDefault="00E91A59">
            <w:pPr>
              <w:autoSpaceDE w:val="0"/>
              <w:autoSpaceDN w:val="0"/>
              <w:adjustRightInd w:val="0"/>
              <w:snapToGrid w:val="0"/>
              <w:jc w:val="center"/>
              <w:rPr>
                <w:rFonts w:ascii="宋体" w:eastAsia="宋体" w:hAnsi="宋体" w:cs="Times New Roman"/>
                <w:bCs/>
                <w:sz w:val="18"/>
                <w:szCs w:val="18"/>
              </w:rPr>
            </w:pPr>
            <w:r>
              <w:rPr>
                <w:rFonts w:ascii="宋体" w:eastAsia="宋体" w:hAnsi="宋体"/>
                <w:bCs/>
                <w:sz w:val="18"/>
                <w:szCs w:val="18"/>
              </w:rPr>
              <w:t>存货跌价准备/</w:t>
            </w:r>
            <w:r>
              <w:rPr>
                <w:rFonts w:ascii="宋体" w:eastAsia="宋体" w:hAnsi="宋体" w:hint="eastAsia"/>
                <w:bCs/>
                <w:sz w:val="18"/>
                <w:szCs w:val="18"/>
              </w:rPr>
              <w:t>合同履约成本减值准备</w:t>
            </w:r>
            <w:r>
              <w:rPr>
                <w:rFonts w:ascii="宋体" w:eastAsia="宋体" w:hAnsi="宋体"/>
                <w:bCs/>
                <w:sz w:val="18"/>
                <w:szCs w:val="18"/>
              </w:rPr>
              <w:t>的原因</w:t>
            </w:r>
          </w:p>
        </w:tc>
      </w:tr>
      <w:tr w:rsidR="00403CD6">
        <w:trPr>
          <w:cantSplit/>
          <w:trHeight w:val="340"/>
          <w:jc w:val="center"/>
        </w:trPr>
        <w:tc>
          <w:tcPr>
            <w:tcW w:w="694" w:type="pct"/>
            <w:vAlign w:val="center"/>
          </w:tcPr>
          <w:p w:rsidR="00403CD6" w:rsidRDefault="00E91A59" w:rsidP="00012CDC">
            <w:pPr>
              <w:autoSpaceDE w:val="0"/>
              <w:autoSpaceDN w:val="0"/>
              <w:adjustRightInd w:val="0"/>
              <w:snapToGrid w:val="0"/>
              <w:ind w:leftChars="-1" w:left="-2" w:firstLineChars="1" w:firstLine="2"/>
              <w:rPr>
                <w:rFonts w:ascii="Times New Roman" w:hAnsi="Times New Roman" w:cs="Times New Roman"/>
                <w:bCs/>
                <w:sz w:val="18"/>
                <w:szCs w:val="18"/>
              </w:rPr>
            </w:pPr>
            <w:r>
              <w:rPr>
                <w:rFonts w:hint="eastAsia"/>
                <w:color w:val="000000"/>
                <w:sz w:val="18"/>
                <w:szCs w:val="18"/>
              </w:rPr>
              <w:t>原材料</w:t>
            </w:r>
          </w:p>
        </w:tc>
        <w:tc>
          <w:tcPr>
            <w:tcW w:w="2175" w:type="pct"/>
            <w:vAlign w:val="center"/>
          </w:tcPr>
          <w:p w:rsidR="00403CD6" w:rsidRDefault="00E91A59">
            <w:pPr>
              <w:jc w:val="center"/>
              <w:rPr>
                <w:rFonts w:ascii="宋体" w:eastAsia="宋体" w:hAnsi="宋体" w:cs="Times New Roman"/>
                <w:bCs/>
                <w:sz w:val="18"/>
                <w:szCs w:val="18"/>
              </w:rPr>
            </w:pPr>
            <w:r>
              <w:rPr>
                <w:rFonts w:hint="eastAsia"/>
                <w:color w:val="000000"/>
                <w:sz w:val="18"/>
                <w:szCs w:val="18"/>
              </w:rPr>
              <w:t>原材料成本高于其可变现净值</w:t>
            </w:r>
          </w:p>
        </w:tc>
        <w:tc>
          <w:tcPr>
            <w:tcW w:w="2131" w:type="pct"/>
            <w:vAlign w:val="center"/>
          </w:tcPr>
          <w:p w:rsidR="00403CD6" w:rsidRDefault="00E91A59">
            <w:pPr>
              <w:jc w:val="center"/>
              <w:rPr>
                <w:rFonts w:ascii="宋体" w:eastAsia="宋体" w:hAnsi="宋体" w:cs="Times New Roman"/>
                <w:bCs/>
                <w:sz w:val="18"/>
                <w:szCs w:val="18"/>
              </w:rPr>
            </w:pPr>
            <w:r>
              <w:rPr>
                <w:rFonts w:hint="eastAsia"/>
                <w:color w:val="000000"/>
                <w:sz w:val="18"/>
                <w:szCs w:val="18"/>
              </w:rPr>
              <w:t>本期因销售减值的备品备件转销存货跌价准备</w:t>
            </w:r>
          </w:p>
        </w:tc>
      </w:tr>
      <w:tr w:rsidR="00403CD6">
        <w:trPr>
          <w:cantSplit/>
          <w:trHeight w:val="340"/>
          <w:jc w:val="center"/>
        </w:trPr>
        <w:tc>
          <w:tcPr>
            <w:tcW w:w="694" w:type="pct"/>
            <w:vAlign w:val="center"/>
          </w:tcPr>
          <w:p w:rsidR="00403CD6" w:rsidRDefault="00E91A59">
            <w:pPr>
              <w:autoSpaceDE w:val="0"/>
              <w:autoSpaceDN w:val="0"/>
              <w:adjustRightInd w:val="0"/>
              <w:snapToGrid w:val="0"/>
              <w:rPr>
                <w:rFonts w:ascii="Times New Roman" w:hAnsi="Times New Roman" w:cs="Times New Roman"/>
                <w:bCs/>
                <w:sz w:val="18"/>
                <w:szCs w:val="18"/>
              </w:rPr>
            </w:pPr>
            <w:r>
              <w:rPr>
                <w:rFonts w:hint="eastAsia"/>
                <w:color w:val="000000"/>
                <w:sz w:val="18"/>
                <w:szCs w:val="18"/>
              </w:rPr>
              <w:t>库存商品</w:t>
            </w:r>
          </w:p>
        </w:tc>
        <w:tc>
          <w:tcPr>
            <w:tcW w:w="2175" w:type="pct"/>
            <w:vAlign w:val="center"/>
          </w:tcPr>
          <w:p w:rsidR="00403CD6" w:rsidRDefault="00E91A59">
            <w:pPr>
              <w:jc w:val="center"/>
              <w:rPr>
                <w:rFonts w:ascii="宋体" w:eastAsia="宋体" w:hAnsi="宋体" w:cs="Times New Roman"/>
                <w:bCs/>
                <w:sz w:val="18"/>
                <w:szCs w:val="18"/>
              </w:rPr>
            </w:pPr>
            <w:r>
              <w:rPr>
                <w:rFonts w:hint="eastAsia"/>
                <w:color w:val="000000"/>
                <w:sz w:val="18"/>
                <w:szCs w:val="18"/>
              </w:rPr>
              <w:t>库存商品成本高于其可变现净值</w:t>
            </w:r>
          </w:p>
        </w:tc>
        <w:tc>
          <w:tcPr>
            <w:tcW w:w="2131" w:type="pct"/>
            <w:vAlign w:val="center"/>
          </w:tcPr>
          <w:p w:rsidR="00403CD6" w:rsidRDefault="00E91A59">
            <w:pPr>
              <w:jc w:val="center"/>
              <w:rPr>
                <w:rFonts w:ascii="宋体" w:eastAsia="宋体" w:hAnsi="宋体" w:cs="Times New Roman"/>
                <w:bCs/>
                <w:sz w:val="18"/>
                <w:szCs w:val="18"/>
              </w:rPr>
            </w:pPr>
            <w:r>
              <w:rPr>
                <w:rFonts w:hint="eastAsia"/>
                <w:color w:val="000000"/>
                <w:sz w:val="18"/>
                <w:szCs w:val="18"/>
              </w:rPr>
              <w:t>本期因销售减值的库存商品转销存货跌价准备</w:t>
            </w:r>
          </w:p>
        </w:tc>
      </w:tr>
    </w:tbl>
    <w:bookmarkEnd w:id="58"/>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9、一年内到期的非流动资产</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1</w:t>
            </w:r>
            <w:r>
              <w:rPr>
                <w:rFonts w:hint="eastAsia"/>
                <w:color w:val="000000"/>
                <w:sz w:val="18"/>
                <w:szCs w:val="18"/>
              </w:rPr>
              <w:t>年内到期的长期应收款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2,840,365,519.48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4,161,725,935.75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2,840,365,519.48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4,161,725,935.75</w:t>
            </w:r>
          </w:p>
        </w:tc>
      </w:tr>
    </w:tbl>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sz w:val="18"/>
          <w:szCs w:val="18"/>
        </w:rPr>
        <w:t>说明：</w:t>
      </w:r>
      <w:r>
        <w:rPr>
          <w:rFonts w:ascii="宋体" w:eastAsia="宋体" w:hAnsi="宋体" w:cs="宋体" w:hint="eastAsia"/>
          <w:sz w:val="18"/>
          <w:szCs w:val="18"/>
        </w:rPr>
        <w:t>①</w:t>
      </w:r>
      <w:r>
        <w:rPr>
          <w:rFonts w:ascii="Times New Roman" w:eastAsia="宋体" w:hAnsi="Times New Roman" w:cs="Times New Roman" w:hint="eastAsia"/>
          <w:sz w:val="18"/>
          <w:szCs w:val="18"/>
        </w:rPr>
        <w:t>一年内到期的长期应收款</w:t>
      </w:r>
      <w:r>
        <w:rPr>
          <w:rFonts w:ascii="Times New Roman" w:eastAsia="宋体" w:hAnsi="Times New Roman" w:cs="Times New Roman"/>
          <w:sz w:val="18"/>
          <w:szCs w:val="18"/>
        </w:rPr>
        <w:t>2,816,898,675.87</w:t>
      </w:r>
      <w:r>
        <w:rPr>
          <w:rFonts w:ascii="Times New Roman" w:eastAsia="宋体" w:hAnsi="Times New Roman" w:cs="Times New Roman" w:hint="eastAsia"/>
          <w:sz w:val="18"/>
          <w:szCs w:val="18"/>
        </w:rPr>
        <w:t>元（上年金额</w:t>
      </w:r>
      <w:r>
        <w:rPr>
          <w:rFonts w:ascii="Times New Roman" w:eastAsia="宋体" w:hAnsi="Times New Roman" w:cs="Times New Roman" w:hint="eastAsia"/>
          <w:sz w:val="18"/>
          <w:szCs w:val="18"/>
        </w:rPr>
        <w:t>4,054,545,080.32</w:t>
      </w:r>
      <w:r>
        <w:rPr>
          <w:rFonts w:ascii="Times New Roman" w:eastAsia="宋体" w:hAnsi="Times New Roman" w:cs="Times New Roman" w:hint="eastAsia"/>
          <w:sz w:val="18"/>
          <w:szCs w:val="18"/>
        </w:rPr>
        <w:t>元）为应收融资租赁款</w:t>
      </w:r>
      <w:r>
        <w:rPr>
          <w:rFonts w:ascii="Times New Roman" w:eastAsia="宋体" w:hAnsi="Times New Roman" w:cs="Times New Roman"/>
          <w:sz w:val="18"/>
          <w:szCs w:val="18"/>
        </w:rPr>
        <w:t>；</w:t>
      </w:r>
    </w:p>
    <w:p w:rsidR="00403CD6" w:rsidRDefault="00E91A59">
      <w:pPr>
        <w:keepNext/>
        <w:keepLines/>
        <w:spacing w:before="40" w:after="40" w:line="280" w:lineRule="exact"/>
        <w:ind w:firstLineChars="300" w:firstLine="540"/>
        <w:rPr>
          <w:rFonts w:ascii="Times New Roman" w:eastAsia="宋体" w:hAnsi="Times New Roman" w:cs="Times New Roman"/>
          <w:sz w:val="18"/>
          <w:szCs w:val="18"/>
        </w:rPr>
      </w:pPr>
      <w:r>
        <w:rPr>
          <w:rFonts w:ascii="宋体" w:eastAsia="宋体" w:hAnsi="宋体" w:cs="宋体" w:hint="eastAsia"/>
          <w:sz w:val="18"/>
          <w:szCs w:val="18"/>
        </w:rPr>
        <w:t>②</w:t>
      </w:r>
      <w:r>
        <w:rPr>
          <w:rFonts w:ascii="Times New Roman" w:eastAsia="宋体" w:hAnsi="Times New Roman" w:cs="Times New Roman" w:hint="eastAsia"/>
          <w:sz w:val="18"/>
          <w:szCs w:val="18"/>
        </w:rPr>
        <w:t>一年内到期的长期应收款</w:t>
      </w:r>
      <w:r>
        <w:rPr>
          <w:rFonts w:ascii="Times New Roman" w:eastAsia="宋体" w:hAnsi="Times New Roman" w:cs="Times New Roman"/>
          <w:sz w:val="18"/>
          <w:szCs w:val="18"/>
        </w:rPr>
        <w:t>23,098,378.89</w:t>
      </w:r>
      <w:r>
        <w:rPr>
          <w:rFonts w:ascii="Times New Roman" w:eastAsia="宋体" w:hAnsi="Times New Roman" w:cs="Times New Roman" w:hint="eastAsia"/>
          <w:sz w:val="18"/>
          <w:szCs w:val="18"/>
        </w:rPr>
        <w:t>元（上年金额</w:t>
      </w:r>
      <w:r>
        <w:rPr>
          <w:rFonts w:ascii="Times New Roman" w:eastAsia="宋体" w:hAnsi="Times New Roman" w:cs="Times New Roman" w:hint="eastAsia"/>
          <w:sz w:val="18"/>
          <w:szCs w:val="18"/>
        </w:rPr>
        <w:t>107,180,855.43</w:t>
      </w:r>
      <w:r>
        <w:rPr>
          <w:rFonts w:ascii="Times New Roman" w:eastAsia="宋体" w:hAnsi="Times New Roman" w:cs="Times New Roman" w:hint="eastAsia"/>
          <w:sz w:val="18"/>
          <w:szCs w:val="18"/>
        </w:rPr>
        <w:t>元）为应收保证金。</w:t>
      </w:r>
    </w:p>
    <w:p w:rsidR="00403CD6" w:rsidRDefault="00E91A59">
      <w:pPr>
        <w:keepNext/>
        <w:keepLines/>
        <w:spacing w:before="40" w:after="40" w:line="280" w:lineRule="exact"/>
        <w:ind w:firstLineChars="300" w:firstLine="540"/>
        <w:rPr>
          <w:rFonts w:ascii="Times New Roman" w:eastAsia="宋体" w:hAnsi="Times New Roman" w:cs="Times New Roman"/>
          <w:sz w:val="18"/>
          <w:szCs w:val="18"/>
        </w:rPr>
      </w:pPr>
      <w:r>
        <w:rPr>
          <w:rFonts w:ascii="Times New Roman" w:eastAsia="宋体" w:hAnsi="Times New Roman" w:cs="Times New Roman" w:hint="eastAsia"/>
          <w:sz w:val="18"/>
          <w:szCs w:val="18"/>
        </w:rPr>
        <w:t>③一年内到期的长期应收款</w:t>
      </w:r>
      <w:r>
        <w:rPr>
          <w:rFonts w:ascii="Times New Roman" w:eastAsia="宋体" w:hAnsi="Times New Roman" w:cs="Times New Roman" w:hint="eastAsia"/>
          <w:sz w:val="18"/>
          <w:szCs w:val="18"/>
        </w:rPr>
        <w:t>368,464.72</w:t>
      </w:r>
      <w:r>
        <w:rPr>
          <w:rFonts w:ascii="Times New Roman" w:eastAsia="宋体" w:hAnsi="Times New Roman" w:cs="Times New Roman" w:hint="eastAsia"/>
          <w:sz w:val="18"/>
          <w:szCs w:val="18"/>
        </w:rPr>
        <w:t>元（上年金额</w:t>
      </w:r>
      <w:r>
        <w:rPr>
          <w:rFonts w:ascii="Times New Roman" w:eastAsia="宋体" w:hAnsi="Times New Roman" w:cs="Times New Roman" w:hint="eastAsia"/>
          <w:sz w:val="18"/>
          <w:szCs w:val="18"/>
        </w:rPr>
        <w:t>0.00</w:t>
      </w:r>
      <w:r>
        <w:rPr>
          <w:rFonts w:ascii="Times New Roman" w:eastAsia="宋体" w:hAnsi="Times New Roman" w:cs="Times New Roman" w:hint="eastAsia"/>
          <w:sz w:val="18"/>
          <w:szCs w:val="18"/>
        </w:rPr>
        <w:t>元）为</w:t>
      </w:r>
      <w:proofErr w:type="gramStart"/>
      <w:r>
        <w:rPr>
          <w:rFonts w:ascii="Times New Roman" w:eastAsia="宋体" w:hAnsi="Times New Roman" w:cs="Times New Roman" w:hint="eastAsia"/>
          <w:sz w:val="18"/>
          <w:szCs w:val="18"/>
        </w:rPr>
        <w:t>应收转</w:t>
      </w:r>
      <w:proofErr w:type="gramEnd"/>
      <w:r>
        <w:rPr>
          <w:rFonts w:ascii="Times New Roman" w:eastAsia="宋体" w:hAnsi="Times New Roman" w:cs="Times New Roman" w:hint="eastAsia"/>
          <w:sz w:val="18"/>
          <w:szCs w:val="18"/>
        </w:rPr>
        <w:t>租赁款。</w:t>
      </w:r>
    </w:p>
    <w:p w:rsidR="00403CD6" w:rsidRDefault="00E91A59">
      <w:pPr>
        <w:keepNext/>
        <w:widowControl/>
        <w:spacing w:before="40" w:after="40"/>
        <w:rPr>
          <w:rFonts w:ascii="宋体" w:eastAsia="宋体" w:hAnsi="宋体"/>
          <w:sz w:val="18"/>
          <w:szCs w:val="18"/>
        </w:rPr>
      </w:pPr>
      <w:r>
        <w:rPr>
          <w:rFonts w:ascii="宋体" w:eastAsia="宋体" w:hAnsi="宋体" w:hint="eastAsia"/>
          <w:sz w:val="18"/>
          <w:szCs w:val="18"/>
        </w:rPr>
        <w:t>应收融资租赁款中重要的单项计提坏账准备的应收款项</w:t>
      </w:r>
    </w:p>
    <w:p w:rsidR="00403CD6" w:rsidRDefault="00E91A59">
      <w:pPr>
        <w:keepNext/>
        <w:widowControl/>
        <w:spacing w:before="40" w:after="40"/>
        <w:jc w:val="right"/>
        <w:rPr>
          <w:rFonts w:ascii="宋体" w:eastAsia="宋体" w:hAnsi="宋体"/>
          <w:sz w:val="18"/>
          <w:szCs w:val="18"/>
        </w:rPr>
      </w:pPr>
      <w:r>
        <w:rPr>
          <w:rFonts w:ascii="宋体" w:eastAsia="宋体" w:hAnsi="宋体" w:hint="eastAsia"/>
          <w:sz w:val="18"/>
          <w:szCs w:val="18"/>
        </w:rPr>
        <w:t>单位：元</w:t>
      </w:r>
    </w:p>
    <w:tbl>
      <w:tblPr>
        <w:tblW w:w="5059" w:type="pct"/>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60"/>
        <w:gridCol w:w="1560"/>
        <w:gridCol w:w="1559"/>
        <w:gridCol w:w="1416"/>
        <w:gridCol w:w="1702"/>
        <w:gridCol w:w="2010"/>
      </w:tblGrid>
      <w:tr w:rsidR="00403CD6">
        <w:trPr>
          <w:trHeight w:val="284"/>
        </w:trPr>
        <w:tc>
          <w:tcPr>
            <w:tcW w:w="795"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类</w:t>
            </w:r>
            <w:r>
              <w:rPr>
                <w:rFonts w:ascii="宋体" w:eastAsia="宋体" w:hAnsi="宋体" w:cs="宋体"/>
                <w:color w:val="000000"/>
                <w:kern w:val="0"/>
                <w:sz w:val="18"/>
                <w:szCs w:val="18"/>
              </w:rPr>
              <w:t xml:space="preserve">  </w:t>
            </w:r>
            <w:r>
              <w:rPr>
                <w:rFonts w:ascii="宋体" w:eastAsia="宋体" w:hAnsi="宋体" w:cs="宋体" w:hint="eastAsia"/>
                <w:color w:val="000000"/>
                <w:kern w:val="0"/>
                <w:sz w:val="18"/>
                <w:szCs w:val="18"/>
              </w:rPr>
              <w:t>别</w:t>
            </w:r>
          </w:p>
        </w:tc>
        <w:tc>
          <w:tcPr>
            <w:tcW w:w="795"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账面余额</w:t>
            </w:r>
          </w:p>
        </w:tc>
        <w:tc>
          <w:tcPr>
            <w:tcW w:w="795"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整个存续期预期信用损失率（</w:t>
            </w:r>
            <w:r>
              <w:rPr>
                <w:rFonts w:ascii="Times New Roman" w:eastAsia="宋体" w:hAnsi="Times New Roman" w:cs="Times New Roman"/>
                <w:color w:val="000000"/>
                <w:kern w:val="0"/>
                <w:sz w:val="18"/>
                <w:szCs w:val="18"/>
              </w:rPr>
              <w:t>%</w:t>
            </w:r>
            <w:r>
              <w:rPr>
                <w:rFonts w:ascii="宋体" w:eastAsia="宋体" w:hAnsi="宋体" w:cs="宋体" w:hint="eastAsia"/>
                <w:color w:val="000000"/>
                <w:kern w:val="0"/>
                <w:sz w:val="18"/>
                <w:szCs w:val="18"/>
              </w:rPr>
              <w:t>）</w:t>
            </w:r>
          </w:p>
        </w:tc>
        <w:tc>
          <w:tcPr>
            <w:tcW w:w="722"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坏账准备</w:t>
            </w:r>
          </w:p>
        </w:tc>
        <w:tc>
          <w:tcPr>
            <w:tcW w:w="868"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账面价值</w:t>
            </w:r>
          </w:p>
        </w:tc>
        <w:tc>
          <w:tcPr>
            <w:tcW w:w="1025" w:type="pct"/>
            <w:shd w:val="clear" w:color="auto" w:fill="D9D9D9" w:themeFill="background1" w:themeFillShade="D9"/>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理由</w:t>
            </w:r>
          </w:p>
        </w:tc>
      </w:tr>
      <w:tr w:rsidR="00403CD6">
        <w:trPr>
          <w:trHeight w:val="284"/>
        </w:trPr>
        <w:tc>
          <w:tcPr>
            <w:tcW w:w="795" w:type="pct"/>
            <w:shd w:val="clear" w:color="auto" w:fill="auto"/>
            <w:vAlign w:val="center"/>
          </w:tcPr>
          <w:p w:rsidR="00403CD6" w:rsidRDefault="00E91A59">
            <w:pPr>
              <w:widowControl/>
              <w:rPr>
                <w:rFonts w:ascii="宋体" w:eastAsia="宋体" w:hAnsi="宋体" w:cs="Times New Roman"/>
                <w:color w:val="000000"/>
                <w:sz w:val="18"/>
                <w:szCs w:val="18"/>
              </w:rPr>
            </w:pPr>
            <w:r>
              <w:rPr>
                <w:rFonts w:ascii="宋体" w:eastAsia="宋体" w:hAnsi="宋体" w:cs="Times New Roman" w:hint="eastAsia"/>
                <w:color w:val="000000"/>
                <w:sz w:val="18"/>
                <w:szCs w:val="18"/>
              </w:rPr>
              <w:t>客户</w:t>
            </w:r>
            <w:proofErr w:type="gramStart"/>
            <w:r>
              <w:rPr>
                <w:rFonts w:ascii="宋体" w:eastAsia="宋体" w:hAnsi="宋体" w:cs="Times New Roman" w:hint="eastAsia"/>
                <w:color w:val="000000"/>
                <w:sz w:val="18"/>
                <w:szCs w:val="18"/>
              </w:rPr>
              <w:t>一</w:t>
            </w:r>
            <w:proofErr w:type="gramEnd"/>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1,554,672,582.20</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17.50</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272,067,701.89</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1,282,604,880.31</w:t>
            </w:r>
          </w:p>
        </w:tc>
        <w:tc>
          <w:tcPr>
            <w:tcW w:w="1025" w:type="pct"/>
            <w:shd w:val="clear" w:color="auto" w:fill="auto"/>
            <w:vAlign w:val="center"/>
          </w:tcPr>
          <w:p w:rsidR="00403CD6" w:rsidRDefault="00E91A59">
            <w:pPr>
              <w:widowControl/>
              <w:jc w:val="center"/>
              <w:rPr>
                <w:rFonts w:ascii="宋体" w:eastAsia="宋体" w:hAnsi="宋体" w:cs="Times New Roman"/>
                <w:color w:val="000000"/>
                <w:kern w:val="0"/>
                <w:sz w:val="18"/>
                <w:szCs w:val="18"/>
              </w:rPr>
            </w:pPr>
            <w:r>
              <w:rPr>
                <w:rFonts w:ascii="宋体" w:eastAsia="宋体" w:hAnsi="宋体" w:cs="Times New Roman" w:hint="eastAsia"/>
                <w:color w:val="000000"/>
                <w:kern w:val="0"/>
                <w:sz w:val="18"/>
                <w:szCs w:val="18"/>
              </w:rPr>
              <w:t>收回具有一定不确定性</w:t>
            </w:r>
          </w:p>
        </w:tc>
      </w:tr>
      <w:tr w:rsidR="00403CD6">
        <w:trPr>
          <w:trHeight w:val="284"/>
        </w:trPr>
        <w:tc>
          <w:tcPr>
            <w:tcW w:w="795" w:type="pct"/>
            <w:shd w:val="clear" w:color="auto" w:fill="auto"/>
            <w:vAlign w:val="center"/>
          </w:tcPr>
          <w:p w:rsidR="00403CD6" w:rsidRDefault="00E91A59">
            <w:pPr>
              <w:widowControl/>
              <w:rPr>
                <w:rFonts w:ascii="宋体" w:eastAsia="宋体" w:hAnsi="宋体" w:cs="Times New Roman"/>
                <w:color w:val="000000"/>
                <w:sz w:val="18"/>
                <w:szCs w:val="18"/>
              </w:rPr>
            </w:pPr>
            <w:r>
              <w:rPr>
                <w:rFonts w:ascii="宋体" w:eastAsia="宋体" w:hAnsi="宋体" w:cs="Times New Roman" w:hint="eastAsia"/>
                <w:color w:val="000000"/>
                <w:sz w:val="18"/>
                <w:szCs w:val="18"/>
              </w:rPr>
              <w:t>客户二</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958,754,877.25</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hint="eastAsia"/>
                <w:color w:val="000000"/>
                <w:sz w:val="18"/>
                <w:szCs w:val="18"/>
              </w:rPr>
              <w:t>8</w:t>
            </w:r>
            <w:r>
              <w:rPr>
                <w:rFonts w:ascii="Times New Roman" w:eastAsia="宋体" w:hAnsi="Times New Roman" w:cs="Times New Roman"/>
                <w:color w:val="000000"/>
                <w:sz w:val="18"/>
                <w:szCs w:val="18"/>
              </w:rPr>
              <w:t>0.00</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767,003,901.80</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191,750,975.45</w:t>
            </w:r>
          </w:p>
        </w:tc>
        <w:tc>
          <w:tcPr>
            <w:tcW w:w="1025" w:type="pct"/>
            <w:shd w:val="clear" w:color="auto" w:fill="auto"/>
            <w:vAlign w:val="center"/>
          </w:tcPr>
          <w:p w:rsidR="00403CD6" w:rsidRDefault="00E91A59">
            <w:pPr>
              <w:widowControl/>
              <w:jc w:val="center"/>
              <w:rPr>
                <w:rFonts w:ascii="宋体" w:eastAsia="宋体" w:hAnsi="宋体" w:cs="Times New Roman"/>
                <w:color w:val="000000"/>
                <w:sz w:val="18"/>
                <w:szCs w:val="18"/>
              </w:rPr>
            </w:pPr>
            <w:r>
              <w:rPr>
                <w:rFonts w:ascii="宋体" w:eastAsia="宋体" w:hAnsi="宋体" w:cs="Times New Roman" w:hint="eastAsia"/>
                <w:color w:val="000000"/>
                <w:kern w:val="0"/>
                <w:sz w:val="18"/>
                <w:szCs w:val="18"/>
              </w:rPr>
              <w:t>收回具有一定不确定性</w:t>
            </w:r>
          </w:p>
        </w:tc>
      </w:tr>
      <w:tr w:rsidR="00403CD6">
        <w:trPr>
          <w:trHeight w:val="284"/>
        </w:trPr>
        <w:tc>
          <w:tcPr>
            <w:tcW w:w="795" w:type="pct"/>
            <w:shd w:val="clear" w:color="auto" w:fill="auto"/>
            <w:vAlign w:val="center"/>
          </w:tcPr>
          <w:p w:rsidR="00403CD6" w:rsidRDefault="00E91A59">
            <w:pPr>
              <w:widowControl/>
              <w:rPr>
                <w:rFonts w:ascii="宋体" w:eastAsia="宋体" w:hAnsi="宋体" w:cs="Times New Roman"/>
                <w:color w:val="000000"/>
                <w:sz w:val="18"/>
                <w:szCs w:val="18"/>
              </w:rPr>
            </w:pPr>
            <w:r>
              <w:rPr>
                <w:rFonts w:ascii="宋体" w:eastAsia="宋体" w:hAnsi="宋体" w:cs="Times New Roman" w:hint="eastAsia"/>
                <w:color w:val="000000"/>
                <w:sz w:val="18"/>
                <w:szCs w:val="18"/>
              </w:rPr>
              <w:t>客户三</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485,296,142.90</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46.00</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223,236,225.74</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262,059,917.16</w:t>
            </w:r>
          </w:p>
        </w:tc>
        <w:tc>
          <w:tcPr>
            <w:tcW w:w="1025" w:type="pct"/>
            <w:shd w:val="clear" w:color="auto" w:fill="auto"/>
            <w:vAlign w:val="center"/>
          </w:tcPr>
          <w:p w:rsidR="00403CD6" w:rsidRDefault="00E91A59">
            <w:pPr>
              <w:widowControl/>
              <w:jc w:val="center"/>
              <w:rPr>
                <w:rFonts w:ascii="宋体" w:eastAsia="宋体" w:hAnsi="宋体" w:cs="Times New Roman"/>
                <w:color w:val="000000"/>
                <w:sz w:val="18"/>
                <w:szCs w:val="18"/>
              </w:rPr>
            </w:pPr>
            <w:r>
              <w:rPr>
                <w:rFonts w:ascii="宋体" w:eastAsia="宋体" w:hAnsi="宋体" w:cs="Times New Roman" w:hint="eastAsia"/>
                <w:color w:val="000000"/>
                <w:kern w:val="0"/>
                <w:sz w:val="18"/>
                <w:szCs w:val="18"/>
              </w:rPr>
              <w:t>收回具有一定不确定性</w:t>
            </w:r>
          </w:p>
        </w:tc>
      </w:tr>
      <w:tr w:rsidR="00403CD6">
        <w:trPr>
          <w:trHeight w:val="284"/>
        </w:trPr>
        <w:tc>
          <w:tcPr>
            <w:tcW w:w="795" w:type="pct"/>
            <w:shd w:val="clear" w:color="auto" w:fill="auto"/>
            <w:vAlign w:val="center"/>
          </w:tcPr>
          <w:p w:rsidR="00403CD6" w:rsidRDefault="00E91A59">
            <w:pPr>
              <w:widowControl/>
              <w:rPr>
                <w:rFonts w:ascii="宋体" w:eastAsia="宋体" w:hAnsi="宋体" w:cs="Times New Roman"/>
                <w:color w:val="000000"/>
                <w:sz w:val="18"/>
                <w:szCs w:val="18"/>
              </w:rPr>
            </w:pPr>
            <w:r>
              <w:rPr>
                <w:rFonts w:ascii="宋体" w:eastAsia="宋体" w:hAnsi="宋体" w:cs="Times New Roman" w:hint="eastAsia"/>
                <w:color w:val="000000"/>
                <w:sz w:val="18"/>
                <w:szCs w:val="18"/>
              </w:rPr>
              <w:t>客户四</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397,228,355.05</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hint="eastAsia"/>
                <w:color w:val="000000"/>
                <w:sz w:val="18"/>
                <w:szCs w:val="18"/>
              </w:rPr>
              <w:t>5</w:t>
            </w:r>
            <w:r>
              <w:rPr>
                <w:rFonts w:ascii="Times New Roman" w:eastAsia="宋体" w:hAnsi="Times New Roman" w:cs="Times New Roman"/>
                <w:color w:val="000000"/>
                <w:sz w:val="18"/>
                <w:szCs w:val="18"/>
              </w:rPr>
              <w:t>.00</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19,861,417.75</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sz w:val="18"/>
                <w:szCs w:val="18"/>
              </w:rPr>
            </w:pPr>
            <w:r>
              <w:rPr>
                <w:rFonts w:ascii="Times New Roman" w:eastAsia="宋体" w:hAnsi="Times New Roman" w:cs="Times New Roman"/>
                <w:color w:val="000000"/>
                <w:sz w:val="18"/>
                <w:szCs w:val="18"/>
              </w:rPr>
              <w:t>377,366,937.30</w:t>
            </w:r>
          </w:p>
        </w:tc>
        <w:tc>
          <w:tcPr>
            <w:tcW w:w="1025" w:type="pct"/>
            <w:shd w:val="clear" w:color="auto" w:fill="auto"/>
            <w:vAlign w:val="center"/>
          </w:tcPr>
          <w:p w:rsidR="00403CD6" w:rsidRDefault="00E91A59">
            <w:pPr>
              <w:widowControl/>
              <w:jc w:val="center"/>
              <w:rPr>
                <w:rFonts w:ascii="宋体" w:eastAsia="宋体" w:hAnsi="宋体" w:cs="Times New Roman"/>
                <w:color w:val="000000"/>
                <w:sz w:val="18"/>
                <w:szCs w:val="18"/>
              </w:rPr>
            </w:pPr>
            <w:r>
              <w:rPr>
                <w:rFonts w:ascii="宋体" w:eastAsia="宋体" w:hAnsi="宋体" w:cs="Times New Roman" w:hint="eastAsia"/>
                <w:color w:val="000000"/>
                <w:kern w:val="0"/>
                <w:sz w:val="18"/>
                <w:szCs w:val="18"/>
              </w:rPr>
              <w:t>收回具有一定不确定性</w:t>
            </w:r>
          </w:p>
        </w:tc>
      </w:tr>
      <w:tr w:rsidR="00403CD6">
        <w:trPr>
          <w:trHeight w:val="284"/>
        </w:trPr>
        <w:tc>
          <w:tcPr>
            <w:tcW w:w="795" w:type="pct"/>
            <w:shd w:val="clear" w:color="auto" w:fill="auto"/>
            <w:vAlign w:val="center"/>
          </w:tcPr>
          <w:p w:rsidR="00403CD6" w:rsidRDefault="00E91A59">
            <w:pPr>
              <w:widowControl/>
              <w:rPr>
                <w:rFonts w:ascii="宋体" w:eastAsia="宋体" w:hAnsi="宋体" w:cs="Times New Roman"/>
                <w:color w:val="000000"/>
                <w:sz w:val="18"/>
                <w:szCs w:val="18"/>
              </w:rPr>
            </w:pPr>
            <w:r>
              <w:rPr>
                <w:rFonts w:ascii="宋体" w:eastAsia="宋体" w:hAnsi="宋体" w:cs="Times New Roman" w:hint="eastAsia"/>
                <w:color w:val="000000"/>
                <w:sz w:val="18"/>
                <w:szCs w:val="18"/>
              </w:rPr>
              <w:t>客户</w:t>
            </w:r>
            <w:r>
              <w:rPr>
                <w:rFonts w:ascii="宋体" w:eastAsia="宋体" w:hAnsi="宋体" w:cs="Times New Roman"/>
                <w:color w:val="000000"/>
                <w:sz w:val="18"/>
                <w:szCs w:val="18"/>
              </w:rPr>
              <w:t>五</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328,844,439.00</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8</w:t>
            </w:r>
            <w:r>
              <w:rPr>
                <w:rFonts w:ascii="Times New Roman" w:eastAsia="宋体" w:hAnsi="Times New Roman" w:cs="Times New Roman"/>
                <w:color w:val="000000"/>
                <w:kern w:val="0"/>
                <w:sz w:val="18"/>
                <w:szCs w:val="18"/>
              </w:rPr>
              <w:t>0.00</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263,075,551.20</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65,768,887.80</w:t>
            </w:r>
          </w:p>
        </w:tc>
        <w:tc>
          <w:tcPr>
            <w:tcW w:w="1025" w:type="pct"/>
            <w:shd w:val="clear" w:color="auto" w:fill="auto"/>
            <w:vAlign w:val="center"/>
          </w:tcPr>
          <w:p w:rsidR="00403CD6" w:rsidRDefault="00E91A59">
            <w:pPr>
              <w:widowControl/>
              <w:jc w:val="center"/>
              <w:rPr>
                <w:rFonts w:ascii="宋体" w:eastAsia="宋体" w:hAnsi="宋体" w:cs="Times New Roman"/>
                <w:color w:val="000000"/>
                <w:kern w:val="0"/>
                <w:sz w:val="18"/>
                <w:szCs w:val="18"/>
              </w:rPr>
            </w:pPr>
            <w:r>
              <w:rPr>
                <w:rFonts w:ascii="宋体" w:eastAsia="宋体" w:hAnsi="宋体" w:cs="Times New Roman" w:hint="eastAsia"/>
                <w:color w:val="000000"/>
                <w:kern w:val="0"/>
                <w:sz w:val="18"/>
                <w:szCs w:val="18"/>
              </w:rPr>
              <w:t>收回具有一定不确定性</w:t>
            </w:r>
          </w:p>
        </w:tc>
      </w:tr>
      <w:tr w:rsidR="00403CD6">
        <w:trPr>
          <w:trHeight w:val="284"/>
        </w:trPr>
        <w:tc>
          <w:tcPr>
            <w:tcW w:w="795" w:type="pct"/>
            <w:shd w:val="clear" w:color="auto" w:fill="D9D9D9" w:themeFill="background1" w:themeFillShade="D9"/>
            <w:vAlign w:val="center"/>
          </w:tcPr>
          <w:p w:rsidR="00403CD6" w:rsidRDefault="00E91A59">
            <w:pPr>
              <w:widowControl/>
              <w:jc w:val="center"/>
              <w:rPr>
                <w:rFonts w:ascii="宋体" w:eastAsia="宋体" w:hAnsi="宋体" w:cs="Times New Roman"/>
                <w:color w:val="000000"/>
                <w:kern w:val="0"/>
                <w:sz w:val="18"/>
                <w:szCs w:val="18"/>
              </w:rPr>
            </w:pPr>
            <w:r>
              <w:rPr>
                <w:rFonts w:ascii="宋体" w:eastAsia="宋体" w:hAnsi="宋体" w:cs="Times New Roman"/>
                <w:color w:val="000000"/>
                <w:sz w:val="18"/>
                <w:szCs w:val="18"/>
              </w:rPr>
              <w:t>合计</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3,724,796,396.40</w:t>
            </w:r>
          </w:p>
        </w:tc>
        <w:tc>
          <w:tcPr>
            <w:tcW w:w="79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4</w:t>
            </w:r>
            <w:r>
              <w:rPr>
                <w:rFonts w:ascii="Times New Roman" w:eastAsia="宋体" w:hAnsi="Times New Roman" w:cs="Times New Roman"/>
                <w:color w:val="000000"/>
                <w:kern w:val="0"/>
                <w:sz w:val="18"/>
                <w:szCs w:val="18"/>
              </w:rPr>
              <w:t>1.49</w:t>
            </w:r>
          </w:p>
        </w:tc>
        <w:tc>
          <w:tcPr>
            <w:tcW w:w="722"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1,545,244,798.38</w:t>
            </w:r>
          </w:p>
        </w:tc>
        <w:tc>
          <w:tcPr>
            <w:tcW w:w="86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2,179,551,598.02</w:t>
            </w:r>
          </w:p>
        </w:tc>
        <w:tc>
          <w:tcPr>
            <w:tcW w:w="102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等线" w:hAnsi="Times New Roman" w:cs="Times New Roman"/>
                <w:color w:val="000000"/>
                <w:sz w:val="18"/>
                <w:szCs w:val="18"/>
              </w:rPr>
              <w:t xml:space="preserve">　</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10、其他流动资产</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待抵扣的进项税额</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135,623,629.69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119,271,427.68</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预缴税款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7,659,808.66</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47,645,192.37</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应收一年期融资租赁款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182,672,726.43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400,411,532.31</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应收一年</w:t>
            </w:r>
            <w:proofErr w:type="gramStart"/>
            <w:r>
              <w:rPr>
                <w:rFonts w:hint="eastAsia"/>
                <w:color w:val="000000"/>
                <w:sz w:val="18"/>
                <w:szCs w:val="18"/>
              </w:rPr>
              <w:t>期保理款</w:t>
            </w:r>
            <w:proofErr w:type="gramEnd"/>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74,820,340.44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261,871,191.52</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待摊费用</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144,335,745.61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201,963,827.62</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其他款项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14,798,952.00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37,663,773.28</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559,911,202.83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1,068,826,944.78</w:t>
            </w:r>
          </w:p>
        </w:tc>
      </w:tr>
    </w:tbl>
    <w:p w:rsidR="00403CD6" w:rsidRDefault="00E91A59">
      <w:pPr>
        <w:keepNext/>
        <w:keepLines/>
        <w:spacing w:before="300" w:after="300" w:line="280" w:lineRule="exact"/>
        <w:outlineLvl w:val="2"/>
        <w:rPr>
          <w:rFonts w:ascii="宋体" w:eastAsia="宋体" w:hAnsi="宋体" w:cs="宋体"/>
          <w:b/>
          <w:bCs/>
          <w:szCs w:val="21"/>
        </w:rPr>
      </w:pPr>
      <w:bookmarkStart w:id="59" w:name="_Toc989260"/>
      <w:bookmarkStart w:id="60" w:name="_Toc989179"/>
      <w:bookmarkEnd w:id="56"/>
      <w:bookmarkEnd w:id="57"/>
      <w:r>
        <w:rPr>
          <w:rFonts w:ascii="宋体" w:eastAsia="宋体" w:hAnsi="宋体" w:cs="宋体" w:hint="eastAsia"/>
          <w:b/>
          <w:bCs/>
          <w:szCs w:val="21"/>
        </w:rPr>
        <w:t>11、长期应收款</w:t>
      </w:r>
      <w:bookmarkEnd w:id="59"/>
    </w:p>
    <w:p w:rsidR="00403CD6" w:rsidRDefault="00E91A59">
      <w:pPr>
        <w:keepNext/>
        <w:keepLines/>
        <w:spacing w:before="300" w:after="300" w:line="280" w:lineRule="exact"/>
        <w:outlineLvl w:val="3"/>
        <w:rPr>
          <w:rFonts w:ascii="宋体" w:eastAsia="宋体" w:hAnsi="宋体" w:cs="宋体"/>
          <w:b/>
          <w:bCs/>
          <w:szCs w:val="21"/>
        </w:rPr>
      </w:pPr>
      <w:bookmarkStart w:id="61" w:name="_Toc989261"/>
      <w:r>
        <w:rPr>
          <w:rFonts w:ascii="宋体" w:eastAsia="宋体" w:hAnsi="宋体" w:cs="宋体" w:hint="eastAsia"/>
          <w:b/>
          <w:bCs/>
          <w:szCs w:val="21"/>
        </w:rPr>
        <w:t>（1） 长期应收款情况</w:t>
      </w:r>
      <w:bookmarkEnd w:id="61"/>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141"/>
        <w:gridCol w:w="1235"/>
        <w:gridCol w:w="1177"/>
        <w:gridCol w:w="1287"/>
        <w:gridCol w:w="1086"/>
        <w:gridCol w:w="1165"/>
        <w:gridCol w:w="927"/>
        <w:gridCol w:w="675"/>
      </w:tblGrid>
      <w:tr w:rsidR="00403CD6">
        <w:trPr>
          <w:trHeight w:val="284"/>
        </w:trPr>
        <w:tc>
          <w:tcPr>
            <w:tcW w:w="110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907"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39"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34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折现率区间</w:t>
            </w:r>
          </w:p>
        </w:tc>
      </w:tr>
      <w:tr w:rsidR="00403CD6">
        <w:trPr>
          <w:trHeight w:val="284"/>
        </w:trPr>
        <w:tc>
          <w:tcPr>
            <w:tcW w:w="1105" w:type="pct"/>
            <w:vMerge/>
            <w:vAlign w:val="center"/>
          </w:tcPr>
          <w:p w:rsidR="00403CD6" w:rsidRDefault="00403CD6">
            <w:pPr>
              <w:widowControl/>
              <w:rPr>
                <w:rFonts w:ascii="Times New Roman" w:eastAsia="宋体" w:hAnsi="Times New Roman" w:cs="Times New Roman"/>
                <w:sz w:val="18"/>
                <w:szCs w:val="18"/>
              </w:rPr>
            </w:pPr>
          </w:p>
        </w:tc>
        <w:tc>
          <w:tcPr>
            <w:tcW w:w="63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0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56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0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47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348"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lastRenderedPageBreak/>
              <w:t>融资租赁款</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5,247,340,922.67</w:t>
            </w:r>
          </w:p>
        </w:tc>
        <w:tc>
          <w:tcPr>
            <w:tcW w:w="60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2,041,452,234.56</w:t>
            </w: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3,205,888,688.11</w:t>
            </w: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5,329,611,463.14</w:t>
            </w:r>
          </w:p>
        </w:tc>
        <w:tc>
          <w:tcPr>
            <w:tcW w:w="60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1,070,429,664.01</w:t>
            </w: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4,259,181,799.13</w:t>
            </w:r>
          </w:p>
        </w:tc>
        <w:tc>
          <w:tcPr>
            <w:tcW w:w="348" w:type="pct"/>
            <w:vAlign w:val="center"/>
          </w:tcPr>
          <w:p w:rsidR="00403CD6" w:rsidRDefault="00E91A59">
            <w:pPr>
              <w:ind w:right="270"/>
              <w:jc w:val="right"/>
              <w:rPr>
                <w:rFonts w:ascii="Times New Roman" w:hAnsi="Times New Roman" w:cs="Times New Roman"/>
                <w:sz w:val="18"/>
                <w:szCs w:val="18"/>
              </w:rPr>
            </w:pPr>
            <w:r>
              <w:rPr>
                <w:rFonts w:ascii="Times New Roman" w:hAnsi="Times New Roman" w:cs="Times New Roman"/>
                <w:sz w:val="18"/>
                <w:szCs w:val="18"/>
              </w:rPr>
              <w:t>4%-12%</w:t>
            </w: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t xml:space="preserve">  </w:t>
            </w:r>
            <w:r>
              <w:rPr>
                <w:rFonts w:ascii="Times New Roman" w:hAnsi="Times New Roman" w:cs="Times New Roman"/>
                <w:kern w:val="0"/>
                <w:sz w:val="18"/>
                <w:szCs w:val="18"/>
              </w:rPr>
              <w:t>减：未实现融资收益</w:t>
            </w:r>
          </w:p>
        </w:tc>
        <w:tc>
          <w:tcPr>
            <w:tcW w:w="63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121,865,194.82</w:t>
            </w:r>
          </w:p>
        </w:tc>
        <w:tc>
          <w:tcPr>
            <w:tcW w:w="607" w:type="pct"/>
            <w:vAlign w:val="center"/>
          </w:tcPr>
          <w:p w:rsidR="00403CD6" w:rsidRDefault="00403CD6">
            <w:pPr>
              <w:jc w:val="right"/>
              <w:rPr>
                <w:rFonts w:ascii="Times New Roman" w:hAnsi="Times New Roman" w:cs="Times New Roman"/>
                <w:sz w:val="18"/>
                <w:szCs w:val="18"/>
              </w:rPr>
            </w:pPr>
          </w:p>
        </w:tc>
        <w:tc>
          <w:tcPr>
            <w:tcW w:w="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121,865,194.82</w:t>
            </w: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66,941,274.36</w:t>
            </w: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66,941,274.36</w:t>
            </w: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widowControl/>
              <w:rPr>
                <w:rFonts w:ascii="Times New Roman" w:hAnsi="Times New Roman" w:cs="Times New Roman"/>
                <w:sz w:val="18"/>
                <w:szCs w:val="18"/>
              </w:rPr>
            </w:pPr>
            <w:r>
              <w:rPr>
                <w:rFonts w:ascii="Times New Roman" w:hAnsi="Times New Roman" w:cs="Times New Roman"/>
                <w:sz w:val="18"/>
                <w:szCs w:val="18"/>
              </w:rPr>
              <w:t>融资租赁保证金</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247,738,958.47</w:t>
            </w:r>
          </w:p>
        </w:tc>
        <w:tc>
          <w:tcPr>
            <w:tcW w:w="607" w:type="pct"/>
            <w:vAlign w:val="center"/>
          </w:tcPr>
          <w:p w:rsidR="00403CD6" w:rsidRDefault="00403CD6">
            <w:pPr>
              <w:jc w:val="right"/>
              <w:rPr>
                <w:rFonts w:ascii="Times New Roman" w:hAnsi="Times New Roman" w:cs="Times New Roman"/>
                <w:sz w:val="18"/>
                <w:szCs w:val="18"/>
              </w:rPr>
            </w:pP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247,738,958.47</w:t>
            </w: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329,246,696.64</w:t>
            </w: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329,246,696.64</w:t>
            </w: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t xml:space="preserve">  </w:t>
            </w:r>
            <w:r>
              <w:rPr>
                <w:rFonts w:ascii="Times New Roman" w:hAnsi="Times New Roman" w:cs="Times New Roman"/>
                <w:kern w:val="0"/>
                <w:sz w:val="18"/>
                <w:szCs w:val="18"/>
              </w:rPr>
              <w:t>减：未实现融资收益</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25,782,566.94</w:t>
            </w:r>
          </w:p>
        </w:tc>
        <w:tc>
          <w:tcPr>
            <w:tcW w:w="607" w:type="pct"/>
            <w:vAlign w:val="center"/>
          </w:tcPr>
          <w:p w:rsidR="00403CD6" w:rsidRDefault="00403CD6">
            <w:pPr>
              <w:jc w:val="right"/>
              <w:rPr>
                <w:rFonts w:ascii="Times New Roman" w:hAnsi="Times New Roman" w:cs="Times New Roman"/>
                <w:sz w:val="18"/>
                <w:szCs w:val="18"/>
              </w:rPr>
            </w:pP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25,782,566.94</w:t>
            </w: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20,467,752.31</w:t>
            </w: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20,467,752.31</w:t>
            </w: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t>应收林地</w:t>
            </w:r>
            <w:proofErr w:type="gramStart"/>
            <w:r>
              <w:rPr>
                <w:rFonts w:ascii="Times New Roman" w:hAnsi="Times New Roman" w:cs="Times New Roman"/>
                <w:kern w:val="0"/>
                <w:sz w:val="18"/>
                <w:szCs w:val="18"/>
              </w:rPr>
              <w:t>转租款</w:t>
            </w:r>
            <w:proofErr w:type="gramEnd"/>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18,790,408.36</w:t>
            </w:r>
          </w:p>
        </w:tc>
        <w:tc>
          <w:tcPr>
            <w:tcW w:w="60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899,519.98</w:t>
            </w: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17,890,888.38</w:t>
            </w:r>
          </w:p>
        </w:tc>
        <w:tc>
          <w:tcPr>
            <w:tcW w:w="560" w:type="pct"/>
            <w:vAlign w:val="center"/>
          </w:tcPr>
          <w:p w:rsidR="00403CD6" w:rsidRDefault="00403CD6">
            <w:pPr>
              <w:jc w:val="right"/>
              <w:rPr>
                <w:rFonts w:ascii="Times New Roman" w:hAnsi="Times New Roman" w:cs="Times New Roman"/>
                <w:sz w:val="18"/>
                <w:szCs w:val="18"/>
              </w:rPr>
            </w:pP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403CD6">
            <w:pPr>
              <w:jc w:val="right"/>
              <w:rPr>
                <w:rFonts w:ascii="Times New Roman" w:hAnsi="Times New Roman" w:cs="Times New Roman"/>
                <w:sz w:val="18"/>
                <w:szCs w:val="18"/>
              </w:rPr>
            </w:pP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ind w:firstLineChars="100" w:firstLine="180"/>
              <w:rPr>
                <w:rFonts w:ascii="Times New Roman" w:hAnsi="Times New Roman" w:cs="Times New Roman"/>
                <w:sz w:val="18"/>
                <w:szCs w:val="18"/>
              </w:rPr>
            </w:pPr>
            <w:r>
              <w:rPr>
                <w:rFonts w:ascii="Times New Roman" w:hAnsi="Times New Roman" w:cs="Times New Roman"/>
                <w:kern w:val="0"/>
                <w:sz w:val="18"/>
                <w:szCs w:val="18"/>
              </w:rPr>
              <w:t>减：未实现融资收益</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6,803,007.48</w:t>
            </w:r>
          </w:p>
        </w:tc>
        <w:tc>
          <w:tcPr>
            <w:tcW w:w="607" w:type="pct"/>
            <w:vAlign w:val="center"/>
          </w:tcPr>
          <w:p w:rsidR="00403CD6" w:rsidRDefault="00403CD6">
            <w:pPr>
              <w:jc w:val="right"/>
              <w:rPr>
                <w:rFonts w:ascii="Times New Roman" w:hAnsi="Times New Roman" w:cs="Times New Roman"/>
                <w:sz w:val="18"/>
                <w:szCs w:val="18"/>
              </w:rPr>
            </w:pP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6,803,007.48</w:t>
            </w:r>
          </w:p>
        </w:tc>
        <w:tc>
          <w:tcPr>
            <w:tcW w:w="560" w:type="pct"/>
            <w:vAlign w:val="center"/>
          </w:tcPr>
          <w:p w:rsidR="00403CD6" w:rsidRDefault="00403CD6">
            <w:pPr>
              <w:jc w:val="right"/>
              <w:rPr>
                <w:rFonts w:ascii="Times New Roman" w:hAnsi="Times New Roman" w:cs="Times New Roman"/>
                <w:sz w:val="18"/>
                <w:szCs w:val="18"/>
              </w:rPr>
            </w:pP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403CD6">
            <w:pPr>
              <w:jc w:val="right"/>
              <w:rPr>
                <w:rFonts w:ascii="Times New Roman" w:hAnsi="Times New Roman" w:cs="Times New Roman"/>
                <w:sz w:val="18"/>
                <w:szCs w:val="18"/>
              </w:rPr>
            </w:pP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kern w:val="0"/>
                <w:sz w:val="18"/>
                <w:szCs w:val="18"/>
              </w:rPr>
              <w:t>小计</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5,359,419,520.26</w:t>
            </w:r>
          </w:p>
        </w:tc>
        <w:tc>
          <w:tcPr>
            <w:tcW w:w="60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2,042,351,754.54</w:t>
            </w:r>
          </w:p>
        </w:tc>
        <w:tc>
          <w:tcPr>
            <w:tcW w:w="664"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3,317,067,765.72</w:t>
            </w: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5,571,449,133.11</w:t>
            </w:r>
          </w:p>
        </w:tc>
        <w:tc>
          <w:tcPr>
            <w:tcW w:w="60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1,070,429,664.01</w:t>
            </w: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4,501,019,469.10</w:t>
            </w: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t>减：</w:t>
            </w:r>
            <w:r>
              <w:rPr>
                <w:rFonts w:ascii="Times New Roman" w:hAnsi="Times New Roman" w:cs="Times New Roman"/>
                <w:kern w:val="0"/>
                <w:sz w:val="18"/>
                <w:szCs w:val="18"/>
              </w:rPr>
              <w:t>1</w:t>
            </w:r>
            <w:r>
              <w:rPr>
                <w:rFonts w:ascii="Times New Roman" w:hAnsi="Times New Roman" w:cs="Times New Roman"/>
                <w:kern w:val="0"/>
                <w:sz w:val="18"/>
                <w:szCs w:val="18"/>
              </w:rPr>
              <w:t>年内到期的长期应收款</w:t>
            </w:r>
          </w:p>
        </w:tc>
        <w:tc>
          <w:tcPr>
            <w:tcW w:w="63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4,867,758,553.13</w:t>
            </w:r>
          </w:p>
        </w:tc>
        <w:tc>
          <w:tcPr>
            <w:tcW w:w="607" w:type="pct"/>
            <w:vAlign w:val="center"/>
          </w:tcPr>
          <w:p w:rsidR="00403CD6" w:rsidRDefault="00E91A59">
            <w:pPr>
              <w:spacing w:before="100" w:beforeAutospacing="1" w:after="100" w:afterAutospacing="1"/>
              <w:rPr>
                <w:rFonts w:ascii="Times New Roman" w:hAnsi="Times New Roman" w:cs="Times New Roman"/>
                <w:sz w:val="18"/>
                <w:szCs w:val="18"/>
              </w:rPr>
            </w:pPr>
            <w:r>
              <w:rPr>
                <w:rFonts w:ascii="Times New Roman" w:eastAsia="仿宋_GB2312" w:hAnsi="Times New Roman" w:cs="Times New Roman"/>
                <w:sz w:val="18"/>
                <w:szCs w:val="18"/>
              </w:rPr>
              <w:t>2,027,393,033.65</w:t>
            </w:r>
          </w:p>
          <w:p w:rsidR="00403CD6" w:rsidRDefault="00403CD6">
            <w:pPr>
              <w:jc w:val="right"/>
              <w:rPr>
                <w:rFonts w:ascii="Times New Roman" w:hAnsi="Times New Roman" w:cs="Times New Roman"/>
                <w:sz w:val="18"/>
                <w:szCs w:val="18"/>
              </w:rPr>
            </w:pPr>
          </w:p>
        </w:tc>
        <w:tc>
          <w:tcPr>
            <w:tcW w:w="664" w:type="pct"/>
            <w:vAlign w:val="center"/>
          </w:tcPr>
          <w:p w:rsidR="00403CD6" w:rsidRDefault="00E91A59">
            <w:pPr>
              <w:spacing w:before="100" w:beforeAutospacing="1" w:after="100" w:afterAutospacing="1"/>
              <w:rPr>
                <w:rFonts w:ascii="Times New Roman" w:hAnsi="Times New Roman" w:cs="Times New Roman"/>
                <w:sz w:val="18"/>
                <w:szCs w:val="18"/>
              </w:rPr>
            </w:pPr>
            <w:r>
              <w:rPr>
                <w:rFonts w:ascii="Times New Roman" w:eastAsia="仿宋_GB2312" w:hAnsi="Times New Roman" w:cs="Times New Roman"/>
                <w:sz w:val="18"/>
                <w:szCs w:val="18"/>
              </w:rPr>
              <w:t>2,840,365,519.48</w:t>
            </w:r>
          </w:p>
          <w:p w:rsidR="00403CD6" w:rsidRDefault="00403CD6">
            <w:pPr>
              <w:jc w:val="right"/>
              <w:rPr>
                <w:rFonts w:ascii="Times New Roman" w:hAnsi="Times New Roman" w:cs="Times New Roman"/>
                <w:sz w:val="18"/>
                <w:szCs w:val="18"/>
              </w:rPr>
            </w:pPr>
          </w:p>
        </w:tc>
        <w:tc>
          <w:tcPr>
            <w:tcW w:w="5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5,229,345,488.65</w:t>
            </w:r>
          </w:p>
        </w:tc>
        <w:tc>
          <w:tcPr>
            <w:tcW w:w="60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1,067,619,552.90</w:t>
            </w:r>
          </w:p>
        </w:tc>
        <w:tc>
          <w:tcPr>
            <w:tcW w:w="47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4,161,725,935.75</w:t>
            </w:r>
          </w:p>
        </w:tc>
        <w:tc>
          <w:tcPr>
            <w:tcW w:w="34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w:t>
            </w:r>
          </w:p>
        </w:tc>
      </w:tr>
      <w:tr w:rsidR="00403CD6">
        <w:trPr>
          <w:trHeight w:val="284"/>
        </w:trPr>
        <w:tc>
          <w:tcPr>
            <w:tcW w:w="1105" w:type="pct"/>
            <w:shd w:val="clear" w:color="auto" w:fill="D3D3D3"/>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kern w:val="0"/>
                <w:sz w:val="18"/>
                <w:szCs w:val="18"/>
              </w:rPr>
              <w:t>减：分类至其他流动负债</w:t>
            </w:r>
          </w:p>
        </w:tc>
        <w:tc>
          <w:tcPr>
            <w:tcW w:w="63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196,410,443.69</w:t>
            </w:r>
          </w:p>
        </w:tc>
        <w:tc>
          <w:tcPr>
            <w:tcW w:w="607" w:type="pct"/>
            <w:vAlign w:val="center"/>
          </w:tcPr>
          <w:p w:rsidR="00403CD6" w:rsidRDefault="00403CD6">
            <w:pPr>
              <w:jc w:val="right"/>
              <w:rPr>
                <w:rFonts w:ascii="Times New Roman" w:hAnsi="Times New Roman" w:cs="Times New Roman"/>
                <w:sz w:val="18"/>
                <w:szCs w:val="18"/>
              </w:rPr>
            </w:pPr>
          </w:p>
        </w:tc>
        <w:tc>
          <w:tcPr>
            <w:tcW w:w="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196,410,443.69</w:t>
            </w:r>
          </w:p>
        </w:tc>
        <w:tc>
          <w:tcPr>
            <w:tcW w:w="560" w:type="pct"/>
            <w:vAlign w:val="center"/>
          </w:tcPr>
          <w:p w:rsidR="00403CD6" w:rsidRDefault="00403CD6">
            <w:pPr>
              <w:jc w:val="right"/>
              <w:rPr>
                <w:rFonts w:ascii="Times New Roman" w:hAnsi="Times New Roman" w:cs="Times New Roman"/>
                <w:sz w:val="18"/>
                <w:szCs w:val="18"/>
              </w:rPr>
            </w:pPr>
          </w:p>
        </w:tc>
        <w:tc>
          <w:tcPr>
            <w:tcW w:w="601" w:type="pct"/>
            <w:vAlign w:val="center"/>
          </w:tcPr>
          <w:p w:rsidR="00403CD6" w:rsidRDefault="00403CD6">
            <w:pPr>
              <w:jc w:val="right"/>
              <w:rPr>
                <w:rFonts w:ascii="Times New Roman" w:hAnsi="Times New Roman" w:cs="Times New Roman"/>
                <w:sz w:val="18"/>
                <w:szCs w:val="18"/>
              </w:rPr>
            </w:pPr>
          </w:p>
        </w:tc>
        <w:tc>
          <w:tcPr>
            <w:tcW w:w="478" w:type="pct"/>
            <w:vAlign w:val="center"/>
          </w:tcPr>
          <w:p w:rsidR="00403CD6" w:rsidRDefault="00403CD6">
            <w:pPr>
              <w:jc w:val="right"/>
              <w:rPr>
                <w:rFonts w:ascii="Times New Roman" w:hAnsi="Times New Roman" w:cs="Times New Roman"/>
                <w:sz w:val="18"/>
                <w:szCs w:val="18"/>
              </w:rPr>
            </w:pPr>
          </w:p>
        </w:tc>
        <w:tc>
          <w:tcPr>
            <w:tcW w:w="348"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10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63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295,250,523.44</w:t>
            </w:r>
          </w:p>
        </w:tc>
        <w:tc>
          <w:tcPr>
            <w:tcW w:w="607" w:type="pct"/>
            <w:shd w:val="clear" w:color="auto" w:fill="auto"/>
            <w:vAlign w:val="center"/>
          </w:tcPr>
          <w:p w:rsidR="00403CD6" w:rsidRDefault="00E91A59">
            <w:pPr>
              <w:jc w:val="right"/>
              <w:rPr>
                <w:rFonts w:ascii="Times New Roman" w:eastAsia="Arial Narrow" w:hAnsi="Times New Roman" w:cs="Times New Roman"/>
                <w:color w:val="000000"/>
                <w:sz w:val="18"/>
                <w:szCs w:val="18"/>
              </w:rPr>
            </w:pPr>
            <w:r>
              <w:rPr>
                <w:rFonts w:ascii="Times New Roman" w:eastAsia="仿宋_GB2312" w:hAnsi="Times New Roman" w:cs="Times New Roman"/>
                <w:sz w:val="18"/>
                <w:szCs w:val="18"/>
              </w:rPr>
              <w:t>14,958,720.89</w:t>
            </w:r>
          </w:p>
        </w:tc>
        <w:tc>
          <w:tcPr>
            <w:tcW w:w="66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280,291,802.55</w:t>
            </w:r>
          </w:p>
        </w:tc>
        <w:tc>
          <w:tcPr>
            <w:tcW w:w="560"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342,103,644.46</w:t>
            </w:r>
          </w:p>
        </w:tc>
        <w:tc>
          <w:tcPr>
            <w:tcW w:w="601"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2,810,111.11</w:t>
            </w:r>
          </w:p>
        </w:tc>
        <w:tc>
          <w:tcPr>
            <w:tcW w:w="478"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339,293,533.35</w:t>
            </w:r>
          </w:p>
        </w:tc>
        <w:tc>
          <w:tcPr>
            <w:tcW w:w="348" w:type="pct"/>
            <w:shd w:val="clear" w:color="auto" w:fill="D3D3D3"/>
            <w:vAlign w:val="center"/>
          </w:tcPr>
          <w:p w:rsidR="00403CD6" w:rsidRDefault="00403CD6">
            <w:pPr>
              <w:rPr>
                <w:rFonts w:ascii="Times New Roman" w:hAnsi="Times New Roman" w:cs="Times New Roman"/>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按坏账计提方法分类披露</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63"/>
        <w:gridCol w:w="996"/>
        <w:gridCol w:w="787"/>
        <w:gridCol w:w="956"/>
        <w:gridCol w:w="826"/>
        <w:gridCol w:w="1008"/>
        <w:gridCol w:w="946"/>
        <w:gridCol w:w="760"/>
        <w:gridCol w:w="851"/>
        <w:gridCol w:w="715"/>
        <w:gridCol w:w="985"/>
      </w:tblGrid>
      <w:tr w:rsidR="00403CD6">
        <w:trPr>
          <w:trHeight w:val="284"/>
        </w:trPr>
        <w:tc>
          <w:tcPr>
            <w:tcW w:w="44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类别</w:t>
            </w:r>
          </w:p>
        </w:tc>
        <w:tc>
          <w:tcPr>
            <w:tcW w:w="2359" w:type="pct"/>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195" w:type="pct"/>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445" w:type="pct"/>
            <w:vMerge/>
            <w:vAlign w:val="center"/>
          </w:tcPr>
          <w:p w:rsidR="00403CD6" w:rsidRDefault="00403CD6">
            <w:pPr>
              <w:widowControl/>
              <w:rPr>
                <w:rFonts w:ascii="Times New Roman" w:eastAsia="宋体" w:hAnsi="Times New Roman" w:cs="Times New Roman"/>
                <w:sz w:val="18"/>
                <w:szCs w:val="18"/>
              </w:rPr>
            </w:pPr>
          </w:p>
        </w:tc>
        <w:tc>
          <w:tcPr>
            <w:tcW w:w="920"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919"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52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880"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808"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50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445" w:type="pct"/>
            <w:vMerge/>
            <w:vAlign w:val="center"/>
          </w:tcPr>
          <w:p w:rsidR="00403CD6" w:rsidRDefault="00403CD6">
            <w:pPr>
              <w:widowControl/>
              <w:rPr>
                <w:rFonts w:ascii="Times New Roman" w:eastAsia="宋体" w:hAnsi="Times New Roman" w:cs="Times New Roman"/>
                <w:sz w:val="18"/>
                <w:szCs w:val="18"/>
              </w:rPr>
            </w:pPr>
          </w:p>
        </w:tc>
        <w:tc>
          <w:tcPr>
            <w:tcW w:w="5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40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hint="eastAsia"/>
                <w:sz w:val="18"/>
                <w:szCs w:val="18"/>
              </w:rPr>
              <w:t>%</w:t>
            </w:r>
          </w:p>
        </w:tc>
        <w:tc>
          <w:tcPr>
            <w:tcW w:w="4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42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p>
        </w:tc>
        <w:tc>
          <w:tcPr>
            <w:tcW w:w="520" w:type="pct"/>
            <w:vMerge/>
            <w:vAlign w:val="center"/>
          </w:tcPr>
          <w:p w:rsidR="00403CD6" w:rsidRDefault="00403CD6">
            <w:pPr>
              <w:widowControl/>
              <w:rPr>
                <w:rFonts w:ascii="Times New Roman" w:eastAsia="宋体" w:hAnsi="Times New Roman" w:cs="Times New Roman"/>
                <w:sz w:val="18"/>
                <w:szCs w:val="18"/>
              </w:rPr>
            </w:pPr>
          </w:p>
        </w:tc>
        <w:tc>
          <w:tcPr>
            <w:tcW w:w="48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3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hint="eastAsia"/>
                <w:sz w:val="18"/>
                <w:szCs w:val="18"/>
              </w:rPr>
              <w:t>%</w:t>
            </w:r>
          </w:p>
        </w:tc>
        <w:tc>
          <w:tcPr>
            <w:tcW w:w="43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3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hint="eastAsia"/>
                <w:sz w:val="18"/>
                <w:szCs w:val="18"/>
              </w:rPr>
              <w:t>%</w:t>
            </w:r>
          </w:p>
        </w:tc>
        <w:tc>
          <w:tcPr>
            <w:tcW w:w="505"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445"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按组合计提坏账准备</w:t>
            </w:r>
          </w:p>
        </w:tc>
        <w:tc>
          <w:tcPr>
            <w:tcW w:w="51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295,250,523.44</w:t>
            </w:r>
          </w:p>
        </w:tc>
        <w:tc>
          <w:tcPr>
            <w:tcW w:w="40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93"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14,958,720.89</w:t>
            </w:r>
          </w:p>
        </w:tc>
        <w:tc>
          <w:tcPr>
            <w:tcW w:w="42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5.07</w:t>
            </w:r>
          </w:p>
        </w:tc>
        <w:tc>
          <w:tcPr>
            <w:tcW w:w="52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280,291,802.55</w:t>
            </w:r>
          </w:p>
        </w:tc>
        <w:tc>
          <w:tcPr>
            <w:tcW w:w="48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342,103,644.46</w:t>
            </w:r>
          </w:p>
        </w:tc>
        <w:tc>
          <w:tcPr>
            <w:tcW w:w="3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39"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2,810,111.11</w:t>
            </w:r>
          </w:p>
        </w:tc>
        <w:tc>
          <w:tcPr>
            <w:tcW w:w="3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0.82</w:t>
            </w:r>
          </w:p>
        </w:tc>
        <w:tc>
          <w:tcPr>
            <w:tcW w:w="50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339,293,533.35</w:t>
            </w:r>
          </w:p>
        </w:tc>
      </w:tr>
      <w:tr w:rsidR="00403CD6">
        <w:trPr>
          <w:trHeight w:val="284"/>
        </w:trPr>
        <w:tc>
          <w:tcPr>
            <w:tcW w:w="5000" w:type="pct"/>
            <w:gridSpan w:val="11"/>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其中：</w:t>
            </w:r>
          </w:p>
        </w:tc>
      </w:tr>
      <w:tr w:rsidR="00403CD6">
        <w:trPr>
          <w:trHeight w:val="284"/>
        </w:trPr>
        <w:tc>
          <w:tcPr>
            <w:tcW w:w="445" w:type="pct"/>
            <w:shd w:val="clear" w:color="auto" w:fill="D3D3D3"/>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应收未逾期客户</w:t>
            </w:r>
          </w:p>
        </w:tc>
        <w:tc>
          <w:tcPr>
            <w:tcW w:w="51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281,184,018.32</w:t>
            </w:r>
          </w:p>
        </w:tc>
        <w:tc>
          <w:tcPr>
            <w:tcW w:w="4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95.24</w:t>
            </w:r>
          </w:p>
        </w:tc>
        <w:tc>
          <w:tcPr>
            <w:tcW w:w="4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14,059,200.91</w:t>
            </w:r>
          </w:p>
        </w:tc>
        <w:tc>
          <w:tcPr>
            <w:tcW w:w="4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267,124,817.41</w:t>
            </w:r>
          </w:p>
        </w:tc>
        <w:tc>
          <w:tcPr>
            <w:tcW w:w="48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140,505,555.56</w:t>
            </w:r>
          </w:p>
        </w:tc>
        <w:tc>
          <w:tcPr>
            <w:tcW w:w="3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41.07</w:t>
            </w:r>
          </w:p>
        </w:tc>
        <w:tc>
          <w:tcPr>
            <w:tcW w:w="43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2,810,111.11</w:t>
            </w:r>
          </w:p>
        </w:tc>
        <w:tc>
          <w:tcPr>
            <w:tcW w:w="36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2.00</w:t>
            </w:r>
          </w:p>
        </w:tc>
        <w:tc>
          <w:tcPr>
            <w:tcW w:w="5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137,695,444.45</w:t>
            </w:r>
          </w:p>
        </w:tc>
      </w:tr>
      <w:tr w:rsidR="00403CD6">
        <w:trPr>
          <w:trHeight w:val="284"/>
        </w:trPr>
        <w:tc>
          <w:tcPr>
            <w:tcW w:w="445"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应收林地</w:t>
            </w:r>
            <w:proofErr w:type="gramStart"/>
            <w:r>
              <w:rPr>
                <w:rFonts w:asciiTheme="minorEastAsia" w:hAnsiTheme="minorEastAsia" w:cstheme="minorEastAsia" w:hint="eastAsia"/>
                <w:sz w:val="18"/>
                <w:szCs w:val="18"/>
              </w:rPr>
              <w:t>转租款</w:t>
            </w:r>
            <w:proofErr w:type="gramEnd"/>
          </w:p>
        </w:tc>
        <w:tc>
          <w:tcPr>
            <w:tcW w:w="51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11,618,936.16</w:t>
            </w:r>
          </w:p>
        </w:tc>
        <w:tc>
          <w:tcPr>
            <w:tcW w:w="4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3.93</w:t>
            </w:r>
          </w:p>
        </w:tc>
        <w:tc>
          <w:tcPr>
            <w:tcW w:w="4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899,519.98</w:t>
            </w:r>
          </w:p>
        </w:tc>
        <w:tc>
          <w:tcPr>
            <w:tcW w:w="4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7.74</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10,719,416.18</w:t>
            </w:r>
          </w:p>
        </w:tc>
        <w:tc>
          <w:tcPr>
            <w:tcW w:w="488" w:type="pct"/>
            <w:shd w:val="clear" w:color="auto" w:fill="auto"/>
            <w:vAlign w:val="center"/>
          </w:tcPr>
          <w:p w:rsidR="00403CD6" w:rsidRDefault="00403CD6">
            <w:pPr>
              <w:jc w:val="right"/>
              <w:rPr>
                <w:rFonts w:ascii="Times New Roman" w:hAnsi="Times New Roman" w:cs="Times New Roman"/>
                <w:sz w:val="18"/>
                <w:szCs w:val="18"/>
              </w:rPr>
            </w:pPr>
          </w:p>
        </w:tc>
        <w:tc>
          <w:tcPr>
            <w:tcW w:w="392" w:type="pct"/>
            <w:shd w:val="clear" w:color="auto" w:fill="auto"/>
            <w:vAlign w:val="center"/>
          </w:tcPr>
          <w:p w:rsidR="00403CD6" w:rsidRDefault="00403CD6">
            <w:pPr>
              <w:jc w:val="right"/>
              <w:rPr>
                <w:rFonts w:ascii="Times New Roman" w:hAnsi="Times New Roman" w:cs="Times New Roman"/>
                <w:sz w:val="18"/>
                <w:szCs w:val="18"/>
              </w:rPr>
            </w:pPr>
          </w:p>
        </w:tc>
        <w:tc>
          <w:tcPr>
            <w:tcW w:w="439" w:type="pct"/>
            <w:shd w:val="clear" w:color="auto" w:fill="auto"/>
            <w:vAlign w:val="center"/>
          </w:tcPr>
          <w:p w:rsidR="00403CD6" w:rsidRDefault="00403CD6">
            <w:pPr>
              <w:jc w:val="right"/>
              <w:rPr>
                <w:rFonts w:ascii="Times New Roman" w:hAnsi="Times New Roman" w:cs="Times New Roman"/>
                <w:sz w:val="18"/>
                <w:szCs w:val="18"/>
              </w:rPr>
            </w:pP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50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445" w:type="pct"/>
            <w:shd w:val="clear" w:color="auto" w:fill="D3D3D3"/>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应收保证金</w:t>
            </w:r>
          </w:p>
        </w:tc>
        <w:tc>
          <w:tcPr>
            <w:tcW w:w="51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2,447,568.96</w:t>
            </w:r>
          </w:p>
        </w:tc>
        <w:tc>
          <w:tcPr>
            <w:tcW w:w="4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0.83</w:t>
            </w:r>
          </w:p>
        </w:tc>
        <w:tc>
          <w:tcPr>
            <w:tcW w:w="493" w:type="pct"/>
            <w:shd w:val="clear" w:color="auto" w:fill="auto"/>
            <w:vAlign w:val="center"/>
          </w:tcPr>
          <w:p w:rsidR="00403CD6" w:rsidRDefault="00403CD6">
            <w:pPr>
              <w:jc w:val="right"/>
              <w:rPr>
                <w:rFonts w:ascii="Times New Roman" w:hAnsi="Times New Roman" w:cs="Times New Roman"/>
                <w:sz w:val="18"/>
                <w:szCs w:val="18"/>
              </w:rPr>
            </w:pPr>
          </w:p>
        </w:tc>
        <w:tc>
          <w:tcPr>
            <w:tcW w:w="425" w:type="pct"/>
            <w:shd w:val="clear" w:color="auto" w:fill="auto"/>
            <w:vAlign w:val="center"/>
          </w:tcPr>
          <w:p w:rsidR="00403CD6" w:rsidRDefault="00403CD6">
            <w:pPr>
              <w:jc w:val="right"/>
              <w:rPr>
                <w:rFonts w:ascii="Times New Roman" w:hAnsi="Times New Roman" w:cs="Times New Roman"/>
                <w:sz w:val="18"/>
                <w:szCs w:val="18"/>
              </w:rPr>
            </w:pP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2,447,568.96</w:t>
            </w:r>
          </w:p>
        </w:tc>
        <w:tc>
          <w:tcPr>
            <w:tcW w:w="48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201,598,088.90</w:t>
            </w:r>
          </w:p>
        </w:tc>
        <w:tc>
          <w:tcPr>
            <w:tcW w:w="3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58.93</w:t>
            </w:r>
          </w:p>
        </w:tc>
        <w:tc>
          <w:tcPr>
            <w:tcW w:w="43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5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201,598,088.90</w:t>
            </w:r>
          </w:p>
        </w:tc>
      </w:tr>
      <w:tr w:rsidR="00403CD6">
        <w:trPr>
          <w:trHeight w:val="284"/>
        </w:trPr>
        <w:tc>
          <w:tcPr>
            <w:tcW w:w="445"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51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295,250,523.44</w:t>
            </w:r>
          </w:p>
        </w:tc>
        <w:tc>
          <w:tcPr>
            <w:tcW w:w="40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14,958,720.89</w:t>
            </w:r>
          </w:p>
        </w:tc>
        <w:tc>
          <w:tcPr>
            <w:tcW w:w="425"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hint="eastAsia"/>
                <w:sz w:val="18"/>
                <w:szCs w:val="18"/>
              </w:rPr>
              <w:t>5.07</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280,291,802.55</w:t>
            </w:r>
          </w:p>
        </w:tc>
        <w:tc>
          <w:tcPr>
            <w:tcW w:w="48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342,103,644.46</w:t>
            </w:r>
          </w:p>
        </w:tc>
        <w:tc>
          <w:tcPr>
            <w:tcW w:w="39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39"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2,810,111.11</w:t>
            </w:r>
          </w:p>
        </w:tc>
        <w:tc>
          <w:tcPr>
            <w:tcW w:w="3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0.82</w:t>
            </w:r>
          </w:p>
        </w:tc>
        <w:tc>
          <w:tcPr>
            <w:tcW w:w="50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339,293,533.35</w:t>
            </w:r>
          </w:p>
        </w:tc>
      </w:tr>
    </w:tbl>
    <w:p w:rsidR="00403CD6" w:rsidRDefault="00E91A59">
      <w:pPr>
        <w:spacing w:beforeLines="50" w:before="156" w:line="240" w:lineRule="exact"/>
        <w:rPr>
          <w:rFonts w:ascii="宋体" w:eastAsia="宋体" w:hAnsi="宋体" w:cs="宋体"/>
          <w:sz w:val="18"/>
          <w:szCs w:val="18"/>
        </w:rPr>
      </w:pPr>
      <w:r>
        <w:rPr>
          <w:rFonts w:asciiTheme="minorEastAsia" w:hAnsiTheme="minorEastAsia" w:cstheme="minorEastAsia" w:hint="eastAsia"/>
          <w:sz w:val="18"/>
          <w:szCs w:val="18"/>
        </w:rPr>
        <w:t>按组合计提坏账准备：应收未逾期客户</w:t>
      </w:r>
      <w:r>
        <w:rPr>
          <w:rFonts w:asciiTheme="minorEastAsia" w:hAnsiTheme="minorEastAsia" w:cstheme="minorEastAsia"/>
          <w:sz w:val="18"/>
          <w:szCs w:val="18"/>
        </w:rPr>
        <w:tab/>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2377"/>
        <w:gridCol w:w="2195"/>
        <w:gridCol w:w="633"/>
        <w:gridCol w:w="1342"/>
        <w:gridCol w:w="1141"/>
        <w:gridCol w:w="849"/>
      </w:tblGrid>
      <w:tr w:rsidR="00403CD6">
        <w:trPr>
          <w:cantSplit/>
          <w:trHeight w:val="284"/>
          <w:tblHeader/>
          <w:jc w:val="center"/>
        </w:trPr>
        <w:tc>
          <w:tcPr>
            <w:tcW w:w="668" w:type="pct"/>
            <w:vMerge w:val="restart"/>
            <w:shd w:val="clear" w:color="auto" w:fill="D9D9D9" w:themeFill="background1" w:themeFillShade="D9"/>
            <w:vAlign w:val="center"/>
          </w:tcPr>
          <w:p w:rsidR="00403CD6" w:rsidRDefault="00403CD6">
            <w:pPr>
              <w:widowControl/>
              <w:adjustRightInd w:val="0"/>
              <w:snapToGrid w:val="0"/>
              <w:rPr>
                <w:rFonts w:ascii="Times New Roman" w:eastAsia="宋体" w:hAnsi="Times New Roman" w:cs="Times New Roman"/>
                <w:bCs/>
                <w:sz w:val="18"/>
                <w:szCs w:val="18"/>
              </w:rPr>
            </w:pPr>
          </w:p>
        </w:tc>
        <w:tc>
          <w:tcPr>
            <w:tcW w:w="2641" w:type="pct"/>
            <w:gridSpan w:val="3"/>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期末余额</w:t>
            </w:r>
          </w:p>
        </w:tc>
        <w:tc>
          <w:tcPr>
            <w:tcW w:w="1691" w:type="pct"/>
            <w:gridSpan w:val="3"/>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上年年末余额</w:t>
            </w:r>
          </w:p>
        </w:tc>
      </w:tr>
      <w:tr w:rsidR="00403CD6">
        <w:trPr>
          <w:cantSplit/>
          <w:trHeight w:val="284"/>
          <w:tblHeader/>
          <w:jc w:val="center"/>
        </w:trPr>
        <w:tc>
          <w:tcPr>
            <w:tcW w:w="668" w:type="pct"/>
            <w:vMerge/>
            <w:shd w:val="clear" w:color="auto" w:fill="D9D9D9" w:themeFill="background1" w:themeFillShade="D9"/>
          </w:tcPr>
          <w:p w:rsidR="00403CD6" w:rsidRDefault="00403CD6">
            <w:pPr>
              <w:adjustRightInd w:val="0"/>
              <w:snapToGrid w:val="0"/>
              <w:jc w:val="center"/>
              <w:rPr>
                <w:rFonts w:ascii="Times New Roman" w:eastAsia="宋体" w:hAnsi="Times New Roman" w:cs="Times New Roman"/>
                <w:bCs/>
                <w:sz w:val="18"/>
                <w:szCs w:val="18"/>
              </w:rPr>
            </w:pPr>
          </w:p>
        </w:tc>
        <w:tc>
          <w:tcPr>
            <w:tcW w:w="1206"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长期应收款</w:t>
            </w:r>
          </w:p>
        </w:tc>
        <w:tc>
          <w:tcPr>
            <w:tcW w:w="1114"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坏账准备</w:t>
            </w:r>
          </w:p>
        </w:tc>
        <w:tc>
          <w:tcPr>
            <w:tcW w:w="321"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预期信用损失率</w:t>
            </w:r>
            <w:r>
              <w:rPr>
                <w:rFonts w:ascii="Times New Roman" w:eastAsia="宋体" w:hAnsi="Times New Roman" w:cs="Times New Roman"/>
                <w:bCs/>
                <w:sz w:val="18"/>
                <w:szCs w:val="18"/>
              </w:rPr>
              <w:t>(%)</w:t>
            </w:r>
          </w:p>
        </w:tc>
        <w:tc>
          <w:tcPr>
            <w:tcW w:w="681"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长期应收款</w:t>
            </w:r>
          </w:p>
        </w:tc>
        <w:tc>
          <w:tcPr>
            <w:tcW w:w="579"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坏账准备</w:t>
            </w:r>
          </w:p>
        </w:tc>
        <w:tc>
          <w:tcPr>
            <w:tcW w:w="431"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预期信用损失率</w:t>
            </w:r>
            <w:r>
              <w:rPr>
                <w:rFonts w:ascii="Times New Roman" w:eastAsia="宋体" w:hAnsi="Times New Roman" w:cs="Times New Roman"/>
                <w:bCs/>
                <w:sz w:val="18"/>
                <w:szCs w:val="18"/>
              </w:rPr>
              <w:t>(%)</w:t>
            </w:r>
          </w:p>
        </w:tc>
      </w:tr>
      <w:tr w:rsidR="00403CD6">
        <w:trPr>
          <w:cantSplit/>
          <w:trHeight w:val="284"/>
          <w:jc w:val="center"/>
        </w:trPr>
        <w:tc>
          <w:tcPr>
            <w:tcW w:w="668" w:type="pct"/>
            <w:vAlign w:val="center"/>
          </w:tcPr>
          <w:p w:rsidR="00403CD6" w:rsidRDefault="00E91A59">
            <w:pPr>
              <w:adjustRightInd w:val="0"/>
              <w:snapToGrid w:val="0"/>
              <w:rPr>
                <w:rFonts w:ascii="Times New Roman" w:eastAsia="宋体" w:hAnsi="Times New Roman" w:cs="Times New Roman"/>
                <w:bCs/>
                <w:sz w:val="18"/>
                <w:szCs w:val="18"/>
              </w:rPr>
            </w:pPr>
            <w:r>
              <w:rPr>
                <w:rFonts w:ascii="Times New Roman" w:eastAsia="宋体" w:hAnsi="Times New Roman" w:cs="Times New Roman"/>
                <w:bCs/>
                <w:sz w:val="18"/>
                <w:szCs w:val="18"/>
              </w:rPr>
              <w:t>1</w:t>
            </w:r>
            <w:r>
              <w:rPr>
                <w:rFonts w:ascii="Times New Roman" w:eastAsia="宋体" w:hAnsi="Times New Roman" w:cs="Times New Roman"/>
                <w:bCs/>
                <w:sz w:val="18"/>
                <w:szCs w:val="18"/>
              </w:rPr>
              <w:t>年到期</w:t>
            </w:r>
          </w:p>
        </w:tc>
        <w:tc>
          <w:tcPr>
            <w:tcW w:w="1206" w:type="pct"/>
            <w:vAlign w:val="center"/>
          </w:tcPr>
          <w:p w:rsidR="00403CD6" w:rsidRDefault="00403CD6">
            <w:pPr>
              <w:jc w:val="right"/>
              <w:rPr>
                <w:rFonts w:ascii="Times New Roman" w:eastAsia="宋体" w:hAnsi="Times New Roman" w:cs="Times New Roman"/>
                <w:bCs/>
                <w:sz w:val="18"/>
                <w:szCs w:val="18"/>
              </w:rPr>
            </w:pPr>
          </w:p>
        </w:tc>
        <w:tc>
          <w:tcPr>
            <w:tcW w:w="1114" w:type="pct"/>
            <w:vAlign w:val="center"/>
          </w:tcPr>
          <w:p w:rsidR="00403CD6" w:rsidRDefault="00403CD6">
            <w:pPr>
              <w:jc w:val="right"/>
              <w:rPr>
                <w:rFonts w:ascii="Times New Roman" w:eastAsia="宋体" w:hAnsi="Times New Roman" w:cs="Times New Roman"/>
                <w:bCs/>
                <w:sz w:val="18"/>
                <w:szCs w:val="18"/>
              </w:rPr>
            </w:pPr>
          </w:p>
        </w:tc>
        <w:tc>
          <w:tcPr>
            <w:tcW w:w="321" w:type="pct"/>
            <w:vAlign w:val="center"/>
          </w:tcPr>
          <w:p w:rsidR="00403CD6" w:rsidRDefault="00403CD6">
            <w:pPr>
              <w:jc w:val="right"/>
              <w:rPr>
                <w:rFonts w:ascii="Times New Roman" w:eastAsia="宋体" w:hAnsi="Times New Roman" w:cs="Times New Roman"/>
                <w:bCs/>
                <w:sz w:val="18"/>
                <w:szCs w:val="18"/>
              </w:rPr>
            </w:pPr>
          </w:p>
        </w:tc>
        <w:tc>
          <w:tcPr>
            <w:tcW w:w="681" w:type="pct"/>
            <w:vAlign w:val="center"/>
          </w:tcPr>
          <w:p w:rsidR="00403CD6" w:rsidRDefault="00403CD6">
            <w:pPr>
              <w:jc w:val="right"/>
              <w:rPr>
                <w:rFonts w:ascii="Times New Roman" w:eastAsia="宋体" w:hAnsi="Times New Roman" w:cs="Times New Roman"/>
                <w:bCs/>
                <w:sz w:val="18"/>
                <w:szCs w:val="18"/>
              </w:rPr>
            </w:pPr>
          </w:p>
        </w:tc>
        <w:tc>
          <w:tcPr>
            <w:tcW w:w="579" w:type="pct"/>
            <w:vAlign w:val="center"/>
          </w:tcPr>
          <w:p w:rsidR="00403CD6" w:rsidRDefault="00403CD6">
            <w:pPr>
              <w:jc w:val="right"/>
              <w:rPr>
                <w:rFonts w:ascii="Times New Roman" w:eastAsia="宋体" w:hAnsi="Times New Roman" w:cs="Times New Roman"/>
                <w:bCs/>
                <w:sz w:val="18"/>
                <w:szCs w:val="18"/>
              </w:rPr>
            </w:pPr>
          </w:p>
        </w:tc>
        <w:tc>
          <w:tcPr>
            <w:tcW w:w="431" w:type="pct"/>
            <w:vAlign w:val="center"/>
          </w:tcPr>
          <w:p w:rsidR="00403CD6" w:rsidRDefault="00403CD6">
            <w:pPr>
              <w:jc w:val="right"/>
              <w:rPr>
                <w:rFonts w:ascii="Times New Roman" w:eastAsia="宋体" w:hAnsi="Times New Roman" w:cs="Times New Roman"/>
                <w:bCs/>
                <w:sz w:val="18"/>
                <w:szCs w:val="18"/>
              </w:rPr>
            </w:pPr>
          </w:p>
        </w:tc>
      </w:tr>
      <w:tr w:rsidR="00403CD6">
        <w:trPr>
          <w:cantSplit/>
          <w:trHeight w:val="284"/>
          <w:jc w:val="center"/>
        </w:trPr>
        <w:tc>
          <w:tcPr>
            <w:tcW w:w="668" w:type="pct"/>
            <w:vAlign w:val="center"/>
          </w:tcPr>
          <w:p w:rsidR="00403CD6" w:rsidRDefault="00E91A59">
            <w:pPr>
              <w:adjustRightInd w:val="0"/>
              <w:snapToGrid w:val="0"/>
              <w:rPr>
                <w:rFonts w:ascii="Times New Roman" w:eastAsia="宋体" w:hAnsi="Times New Roman" w:cs="Times New Roman"/>
                <w:bCs/>
                <w:sz w:val="18"/>
                <w:szCs w:val="18"/>
              </w:rPr>
            </w:pPr>
            <w:r>
              <w:rPr>
                <w:rFonts w:ascii="Times New Roman" w:eastAsia="宋体" w:hAnsi="Times New Roman" w:cs="Times New Roman"/>
                <w:bCs/>
                <w:sz w:val="18"/>
                <w:szCs w:val="18"/>
              </w:rPr>
              <w:t>1</w:t>
            </w:r>
            <w:r>
              <w:rPr>
                <w:rFonts w:ascii="Times New Roman" w:eastAsia="宋体" w:hAnsi="Times New Roman" w:cs="Times New Roman"/>
                <w:bCs/>
                <w:sz w:val="18"/>
                <w:szCs w:val="18"/>
              </w:rPr>
              <w:t>至</w:t>
            </w:r>
            <w:r>
              <w:rPr>
                <w:rFonts w:ascii="Times New Roman" w:eastAsia="宋体" w:hAnsi="Times New Roman" w:cs="Times New Roman"/>
                <w:bCs/>
                <w:sz w:val="18"/>
                <w:szCs w:val="18"/>
              </w:rPr>
              <w:t>2</w:t>
            </w:r>
            <w:r>
              <w:rPr>
                <w:rFonts w:ascii="Times New Roman" w:eastAsia="宋体" w:hAnsi="Times New Roman" w:cs="Times New Roman"/>
                <w:bCs/>
                <w:sz w:val="18"/>
                <w:szCs w:val="18"/>
              </w:rPr>
              <w:t>年到期</w:t>
            </w:r>
          </w:p>
        </w:tc>
        <w:tc>
          <w:tcPr>
            <w:tcW w:w="1206" w:type="pct"/>
            <w:vAlign w:val="center"/>
          </w:tcPr>
          <w:p w:rsidR="00403CD6" w:rsidRDefault="00E91A59">
            <w:pPr>
              <w:jc w:val="right"/>
              <w:rPr>
                <w:rFonts w:ascii="Times New Roman" w:eastAsia="仿宋_GB2312" w:hAnsi="Times New Roman" w:cs="Times New Roman"/>
                <w:bCs/>
                <w:sz w:val="18"/>
                <w:szCs w:val="18"/>
              </w:rPr>
            </w:pPr>
            <w:r>
              <w:rPr>
                <w:rFonts w:ascii="Times New Roman" w:eastAsia="仿宋_GB2312" w:hAnsi="Times New Roman" w:cs="Times New Roman"/>
                <w:sz w:val="18"/>
                <w:szCs w:val="18"/>
              </w:rPr>
              <w:t>85,192,921.52</w:t>
            </w:r>
          </w:p>
        </w:tc>
        <w:tc>
          <w:tcPr>
            <w:tcW w:w="1114"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4,259,646.06</w:t>
            </w:r>
          </w:p>
        </w:tc>
        <w:tc>
          <w:tcPr>
            <w:tcW w:w="32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5.00</w:t>
            </w:r>
          </w:p>
        </w:tc>
        <w:tc>
          <w:tcPr>
            <w:tcW w:w="68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140,505,555.56</w:t>
            </w:r>
          </w:p>
        </w:tc>
        <w:tc>
          <w:tcPr>
            <w:tcW w:w="579"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2,810,111.11</w:t>
            </w:r>
          </w:p>
        </w:tc>
        <w:tc>
          <w:tcPr>
            <w:tcW w:w="43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2.00</w:t>
            </w:r>
          </w:p>
        </w:tc>
      </w:tr>
      <w:tr w:rsidR="00403CD6">
        <w:trPr>
          <w:cantSplit/>
          <w:trHeight w:val="284"/>
          <w:jc w:val="center"/>
        </w:trPr>
        <w:tc>
          <w:tcPr>
            <w:tcW w:w="668" w:type="pct"/>
            <w:vAlign w:val="center"/>
          </w:tcPr>
          <w:p w:rsidR="00403CD6" w:rsidRDefault="00E91A59">
            <w:pPr>
              <w:adjustRightInd w:val="0"/>
              <w:snapToGrid w:val="0"/>
              <w:rPr>
                <w:rFonts w:ascii="Times New Roman" w:eastAsia="宋体" w:hAnsi="Times New Roman" w:cs="Times New Roman"/>
                <w:bCs/>
                <w:sz w:val="18"/>
                <w:szCs w:val="18"/>
              </w:rPr>
            </w:pPr>
            <w:r>
              <w:rPr>
                <w:rFonts w:ascii="Times New Roman" w:eastAsia="宋体" w:hAnsi="Times New Roman" w:cs="Times New Roman"/>
                <w:bCs/>
                <w:sz w:val="18"/>
                <w:szCs w:val="18"/>
              </w:rPr>
              <w:t>2</w:t>
            </w:r>
            <w:r>
              <w:rPr>
                <w:rFonts w:ascii="Times New Roman" w:eastAsia="宋体" w:hAnsi="Times New Roman" w:cs="Times New Roman"/>
                <w:bCs/>
                <w:sz w:val="18"/>
                <w:szCs w:val="18"/>
              </w:rPr>
              <w:t>至</w:t>
            </w:r>
            <w:r>
              <w:rPr>
                <w:rFonts w:ascii="Times New Roman" w:eastAsia="宋体" w:hAnsi="Times New Roman" w:cs="Times New Roman"/>
                <w:bCs/>
                <w:sz w:val="18"/>
                <w:szCs w:val="18"/>
              </w:rPr>
              <w:t>3</w:t>
            </w:r>
            <w:r>
              <w:rPr>
                <w:rFonts w:ascii="Times New Roman" w:eastAsia="宋体" w:hAnsi="Times New Roman" w:cs="Times New Roman"/>
                <w:bCs/>
                <w:sz w:val="18"/>
                <w:szCs w:val="18"/>
              </w:rPr>
              <w:t>年到期</w:t>
            </w:r>
          </w:p>
        </w:tc>
        <w:tc>
          <w:tcPr>
            <w:tcW w:w="1206"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85,192,921.54</w:t>
            </w:r>
          </w:p>
        </w:tc>
        <w:tc>
          <w:tcPr>
            <w:tcW w:w="1114"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4,259,646.08</w:t>
            </w:r>
          </w:p>
        </w:tc>
        <w:tc>
          <w:tcPr>
            <w:tcW w:w="32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5.00</w:t>
            </w:r>
          </w:p>
        </w:tc>
        <w:tc>
          <w:tcPr>
            <w:tcW w:w="681" w:type="pct"/>
            <w:vAlign w:val="center"/>
          </w:tcPr>
          <w:p w:rsidR="00403CD6" w:rsidRDefault="00403CD6">
            <w:pPr>
              <w:jc w:val="right"/>
              <w:rPr>
                <w:rFonts w:ascii="Times New Roman" w:eastAsia="宋体" w:hAnsi="Times New Roman" w:cs="Times New Roman"/>
                <w:bCs/>
                <w:sz w:val="18"/>
                <w:szCs w:val="18"/>
              </w:rPr>
            </w:pPr>
          </w:p>
        </w:tc>
        <w:tc>
          <w:tcPr>
            <w:tcW w:w="579" w:type="pct"/>
            <w:vAlign w:val="center"/>
          </w:tcPr>
          <w:p w:rsidR="00403CD6" w:rsidRDefault="00403CD6">
            <w:pPr>
              <w:jc w:val="right"/>
              <w:rPr>
                <w:rFonts w:ascii="Times New Roman" w:eastAsia="宋体" w:hAnsi="Times New Roman" w:cs="Times New Roman"/>
                <w:bCs/>
                <w:sz w:val="18"/>
                <w:szCs w:val="18"/>
              </w:rPr>
            </w:pPr>
          </w:p>
        </w:tc>
        <w:tc>
          <w:tcPr>
            <w:tcW w:w="431" w:type="pct"/>
            <w:vAlign w:val="center"/>
          </w:tcPr>
          <w:p w:rsidR="00403CD6" w:rsidRDefault="00403CD6">
            <w:pPr>
              <w:jc w:val="right"/>
              <w:rPr>
                <w:rFonts w:ascii="Times New Roman" w:eastAsia="宋体" w:hAnsi="Times New Roman" w:cs="Times New Roman"/>
                <w:bCs/>
                <w:sz w:val="18"/>
                <w:szCs w:val="18"/>
              </w:rPr>
            </w:pPr>
          </w:p>
        </w:tc>
      </w:tr>
      <w:tr w:rsidR="00403CD6">
        <w:trPr>
          <w:cantSplit/>
          <w:trHeight w:val="284"/>
          <w:jc w:val="center"/>
        </w:trPr>
        <w:tc>
          <w:tcPr>
            <w:tcW w:w="668" w:type="pct"/>
            <w:vAlign w:val="center"/>
          </w:tcPr>
          <w:p w:rsidR="00403CD6" w:rsidRDefault="00E91A59">
            <w:pPr>
              <w:adjustRightInd w:val="0"/>
              <w:snapToGrid w:val="0"/>
              <w:rPr>
                <w:rFonts w:ascii="Times New Roman" w:eastAsia="宋体" w:hAnsi="Times New Roman" w:cs="Times New Roman"/>
                <w:bCs/>
                <w:sz w:val="18"/>
                <w:szCs w:val="18"/>
              </w:rPr>
            </w:pPr>
            <w:r>
              <w:rPr>
                <w:rFonts w:ascii="Times New Roman" w:eastAsia="宋体" w:hAnsi="Times New Roman" w:cs="Times New Roman" w:hint="eastAsia"/>
                <w:bCs/>
                <w:sz w:val="18"/>
                <w:szCs w:val="18"/>
              </w:rPr>
              <w:t>3</w:t>
            </w:r>
            <w:r>
              <w:rPr>
                <w:rFonts w:ascii="Times New Roman" w:eastAsia="宋体" w:hAnsi="Times New Roman" w:cs="Times New Roman" w:hint="eastAsia"/>
                <w:bCs/>
                <w:sz w:val="18"/>
                <w:szCs w:val="18"/>
              </w:rPr>
              <w:t>年以上</w:t>
            </w:r>
          </w:p>
        </w:tc>
        <w:tc>
          <w:tcPr>
            <w:tcW w:w="1206"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110,798,175.26</w:t>
            </w:r>
          </w:p>
        </w:tc>
        <w:tc>
          <w:tcPr>
            <w:tcW w:w="1114"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5,539,908.77</w:t>
            </w:r>
          </w:p>
        </w:tc>
        <w:tc>
          <w:tcPr>
            <w:tcW w:w="32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5.00</w:t>
            </w:r>
          </w:p>
        </w:tc>
        <w:tc>
          <w:tcPr>
            <w:tcW w:w="681" w:type="pct"/>
            <w:vAlign w:val="center"/>
          </w:tcPr>
          <w:p w:rsidR="00403CD6" w:rsidRDefault="00403CD6">
            <w:pPr>
              <w:jc w:val="right"/>
              <w:rPr>
                <w:rFonts w:ascii="Times New Roman" w:eastAsia="宋体" w:hAnsi="Times New Roman" w:cs="Times New Roman"/>
                <w:bCs/>
                <w:sz w:val="18"/>
                <w:szCs w:val="18"/>
              </w:rPr>
            </w:pPr>
          </w:p>
        </w:tc>
        <w:tc>
          <w:tcPr>
            <w:tcW w:w="579" w:type="pct"/>
            <w:vAlign w:val="center"/>
          </w:tcPr>
          <w:p w:rsidR="00403CD6" w:rsidRDefault="00403CD6">
            <w:pPr>
              <w:jc w:val="right"/>
              <w:rPr>
                <w:rFonts w:ascii="Times New Roman" w:eastAsia="宋体" w:hAnsi="Times New Roman" w:cs="Times New Roman"/>
                <w:bCs/>
                <w:sz w:val="18"/>
                <w:szCs w:val="18"/>
              </w:rPr>
            </w:pPr>
          </w:p>
        </w:tc>
        <w:tc>
          <w:tcPr>
            <w:tcW w:w="431" w:type="pct"/>
            <w:vAlign w:val="center"/>
          </w:tcPr>
          <w:p w:rsidR="00403CD6" w:rsidRDefault="00403CD6">
            <w:pPr>
              <w:jc w:val="right"/>
              <w:rPr>
                <w:rFonts w:ascii="Times New Roman" w:eastAsia="宋体" w:hAnsi="Times New Roman" w:cs="Times New Roman"/>
                <w:bCs/>
                <w:sz w:val="18"/>
                <w:szCs w:val="18"/>
              </w:rPr>
            </w:pPr>
          </w:p>
        </w:tc>
      </w:tr>
      <w:tr w:rsidR="00403CD6">
        <w:trPr>
          <w:cantSplit/>
          <w:trHeight w:val="284"/>
          <w:jc w:val="center"/>
        </w:trPr>
        <w:tc>
          <w:tcPr>
            <w:tcW w:w="668" w:type="pct"/>
            <w:shd w:val="clear" w:color="auto" w:fill="D9D9D9" w:themeFill="background1" w:themeFillShade="D9"/>
            <w:vAlign w:val="center"/>
          </w:tcPr>
          <w:p w:rsidR="00403CD6" w:rsidRDefault="00E91A59">
            <w:pPr>
              <w:widowControl/>
              <w:adjustRightInd w:val="0"/>
              <w:snapToGrid w:val="0"/>
              <w:jc w:val="center"/>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合计</w:t>
            </w:r>
          </w:p>
        </w:tc>
        <w:tc>
          <w:tcPr>
            <w:tcW w:w="1206" w:type="pct"/>
            <w:vAlign w:val="center"/>
          </w:tcPr>
          <w:p w:rsidR="00403CD6" w:rsidRDefault="00E91A59">
            <w:pPr>
              <w:jc w:val="right"/>
              <w:rPr>
                <w:rFonts w:ascii="Times New Roman" w:eastAsia="仿宋_GB2312" w:hAnsi="Times New Roman" w:cs="Times New Roman"/>
                <w:bCs/>
                <w:sz w:val="18"/>
                <w:szCs w:val="18"/>
              </w:rPr>
            </w:pPr>
            <w:r>
              <w:rPr>
                <w:rFonts w:ascii="Times New Roman" w:eastAsia="仿宋_GB2312" w:hAnsi="Times New Roman" w:cs="Times New Roman"/>
                <w:bCs/>
                <w:sz w:val="18"/>
                <w:szCs w:val="18"/>
              </w:rPr>
              <w:t>281,184,018.3</w:t>
            </w:r>
            <w:r>
              <w:rPr>
                <w:rFonts w:ascii="Times New Roman" w:eastAsia="仿宋_GB2312" w:hAnsi="Times New Roman" w:cs="Times New Roman" w:hint="eastAsia"/>
                <w:bCs/>
                <w:sz w:val="18"/>
                <w:szCs w:val="18"/>
              </w:rPr>
              <w:t>2</w:t>
            </w:r>
          </w:p>
        </w:tc>
        <w:tc>
          <w:tcPr>
            <w:tcW w:w="1114"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14,059,200.91</w:t>
            </w:r>
          </w:p>
        </w:tc>
        <w:tc>
          <w:tcPr>
            <w:tcW w:w="32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5.00</w:t>
            </w:r>
          </w:p>
        </w:tc>
        <w:tc>
          <w:tcPr>
            <w:tcW w:w="68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140,505,555.56</w:t>
            </w:r>
          </w:p>
        </w:tc>
        <w:tc>
          <w:tcPr>
            <w:tcW w:w="579"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2,810,111.11</w:t>
            </w:r>
          </w:p>
        </w:tc>
        <w:tc>
          <w:tcPr>
            <w:tcW w:w="431" w:type="pct"/>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bCs/>
                <w:sz w:val="18"/>
                <w:szCs w:val="18"/>
              </w:rPr>
              <w:t>2.00</w:t>
            </w:r>
          </w:p>
        </w:tc>
      </w:tr>
    </w:tbl>
    <w:p w:rsidR="00403CD6" w:rsidRDefault="00403CD6">
      <w:pPr>
        <w:spacing w:line="240" w:lineRule="exact"/>
        <w:rPr>
          <w:rFonts w:ascii="宋体" w:eastAsia="宋体" w:hAnsi="宋体" w:cs="宋体"/>
          <w:sz w:val="18"/>
          <w:szCs w:val="18"/>
        </w:rPr>
      </w:pPr>
    </w:p>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组合计提项目：应收林地转租款</w:t>
      </w:r>
    </w:p>
    <w:p w:rsidR="00403CD6" w:rsidRDefault="00E91A59">
      <w:pPr>
        <w:spacing w:before="40" w:after="40" w:line="240" w:lineRule="exact"/>
        <w:jc w:val="right"/>
        <w:rPr>
          <w:rFonts w:asciiTheme="minorEastAsia" w:hAnsiTheme="minorEastAsia" w:cstheme="minorEastAsia"/>
          <w:sz w:val="18"/>
          <w:szCs w:val="18"/>
        </w:rPr>
      </w:pPr>
      <w:r>
        <w:rPr>
          <w:rFonts w:asciiTheme="minorEastAsia" w:hAnsiTheme="minorEastAsia" w:cstheme="minorEastAsia" w:hint="eastAsia"/>
          <w:sz w:val="18"/>
          <w:szCs w:val="18"/>
        </w:rPr>
        <w:lastRenderedPageBreak/>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9"/>
        <w:gridCol w:w="1468"/>
        <w:gridCol w:w="1322"/>
        <w:gridCol w:w="1178"/>
        <w:gridCol w:w="1470"/>
        <w:gridCol w:w="1322"/>
        <w:gridCol w:w="1464"/>
      </w:tblGrid>
      <w:tr w:rsidR="00403CD6">
        <w:trPr>
          <w:cantSplit/>
          <w:trHeight w:val="284"/>
          <w:tblHeader/>
          <w:jc w:val="center"/>
        </w:trPr>
        <w:tc>
          <w:tcPr>
            <w:tcW w:w="826" w:type="pct"/>
            <w:vMerge w:val="restart"/>
            <w:shd w:val="clear" w:color="auto" w:fill="D9D9D9" w:themeFill="background1" w:themeFillShade="D9"/>
            <w:vAlign w:val="center"/>
          </w:tcPr>
          <w:p w:rsidR="00403CD6" w:rsidRDefault="00403CD6">
            <w:pPr>
              <w:widowControl/>
              <w:adjustRightInd w:val="0"/>
              <w:snapToGrid w:val="0"/>
              <w:rPr>
                <w:rFonts w:ascii="Times New Roman" w:hAnsi="Times New Roman" w:cs="Times New Roman"/>
                <w:bCs/>
                <w:sz w:val="18"/>
                <w:szCs w:val="18"/>
              </w:rPr>
            </w:pPr>
          </w:p>
        </w:tc>
        <w:tc>
          <w:tcPr>
            <w:tcW w:w="2014" w:type="pct"/>
            <w:gridSpan w:val="3"/>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期末余额</w:t>
            </w:r>
          </w:p>
        </w:tc>
        <w:tc>
          <w:tcPr>
            <w:tcW w:w="2161" w:type="pct"/>
            <w:gridSpan w:val="3"/>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上年年末余额</w:t>
            </w:r>
          </w:p>
        </w:tc>
      </w:tr>
      <w:tr w:rsidR="00403CD6">
        <w:trPr>
          <w:cantSplit/>
          <w:trHeight w:val="284"/>
          <w:tblHeader/>
          <w:jc w:val="center"/>
        </w:trPr>
        <w:tc>
          <w:tcPr>
            <w:tcW w:w="826" w:type="pct"/>
            <w:vMerge/>
            <w:shd w:val="clear" w:color="auto" w:fill="D9D9D9" w:themeFill="background1" w:themeFillShade="D9"/>
          </w:tcPr>
          <w:p w:rsidR="00403CD6" w:rsidRDefault="00403CD6">
            <w:pPr>
              <w:adjustRightInd w:val="0"/>
              <w:snapToGrid w:val="0"/>
              <w:jc w:val="center"/>
              <w:rPr>
                <w:rFonts w:ascii="Times New Roman" w:hAnsi="Times New Roman" w:cs="Times New Roman"/>
                <w:bCs/>
                <w:sz w:val="18"/>
                <w:szCs w:val="18"/>
              </w:rPr>
            </w:pPr>
          </w:p>
        </w:tc>
        <w:tc>
          <w:tcPr>
            <w:tcW w:w="745"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长期应收款</w:t>
            </w:r>
          </w:p>
        </w:tc>
        <w:tc>
          <w:tcPr>
            <w:tcW w:w="671"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坏账准备</w:t>
            </w:r>
          </w:p>
        </w:tc>
        <w:tc>
          <w:tcPr>
            <w:tcW w:w="598"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预期信用损失率</w:t>
            </w:r>
            <w:r>
              <w:rPr>
                <w:rFonts w:ascii="Times New Roman" w:hAnsi="Times New Roman" w:cs="Times New Roman"/>
                <w:bCs/>
                <w:sz w:val="18"/>
                <w:szCs w:val="18"/>
              </w:rPr>
              <w:t>(%)</w:t>
            </w:r>
          </w:p>
        </w:tc>
        <w:tc>
          <w:tcPr>
            <w:tcW w:w="746"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长期应收款</w:t>
            </w:r>
          </w:p>
        </w:tc>
        <w:tc>
          <w:tcPr>
            <w:tcW w:w="671"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坏账准备</w:t>
            </w:r>
          </w:p>
        </w:tc>
        <w:tc>
          <w:tcPr>
            <w:tcW w:w="744"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预期信用损失率</w:t>
            </w:r>
            <w:r>
              <w:rPr>
                <w:rFonts w:ascii="Times New Roman" w:hAnsi="Times New Roman" w:cs="Times New Roman"/>
                <w:bCs/>
                <w:sz w:val="18"/>
                <w:szCs w:val="18"/>
              </w:rPr>
              <w:t>(%)</w:t>
            </w:r>
          </w:p>
        </w:tc>
      </w:tr>
      <w:tr w:rsidR="00403CD6">
        <w:trPr>
          <w:cantSplit/>
          <w:trHeight w:val="284"/>
          <w:jc w:val="center"/>
        </w:trPr>
        <w:tc>
          <w:tcPr>
            <w:tcW w:w="826"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1</w:t>
            </w:r>
            <w:r>
              <w:rPr>
                <w:rFonts w:ascii="Times New Roman" w:hAnsi="Times New Roman" w:cs="Times New Roman"/>
                <w:sz w:val="18"/>
                <w:szCs w:val="18"/>
              </w:rPr>
              <w:t>至</w:t>
            </w:r>
            <w:r>
              <w:rPr>
                <w:rFonts w:ascii="Times New Roman" w:hAnsi="Times New Roman" w:cs="Times New Roman"/>
                <w:sz w:val="18"/>
                <w:szCs w:val="18"/>
              </w:rPr>
              <w:t>2</w:t>
            </w:r>
            <w:r>
              <w:rPr>
                <w:rFonts w:ascii="Times New Roman" w:hAnsi="Times New Roman" w:cs="Times New Roman"/>
                <w:sz w:val="18"/>
                <w:szCs w:val="18"/>
              </w:rPr>
              <w:t>年</w:t>
            </w:r>
          </w:p>
        </w:tc>
        <w:tc>
          <w:tcPr>
            <w:tcW w:w="74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381,729.44</w:t>
            </w:r>
          </w:p>
        </w:tc>
        <w:tc>
          <w:tcPr>
            <w:tcW w:w="67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9,237.43</w:t>
            </w:r>
          </w:p>
        </w:tc>
        <w:tc>
          <w:tcPr>
            <w:tcW w:w="59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2.42</w:t>
            </w:r>
          </w:p>
        </w:tc>
        <w:tc>
          <w:tcPr>
            <w:tcW w:w="746" w:type="pct"/>
            <w:vAlign w:val="center"/>
          </w:tcPr>
          <w:p w:rsidR="00403CD6" w:rsidRDefault="00403CD6">
            <w:pPr>
              <w:jc w:val="right"/>
              <w:rPr>
                <w:rFonts w:ascii="Times New Roman" w:hAnsi="Times New Roman" w:cs="Times New Roman"/>
                <w:bCs/>
                <w:sz w:val="18"/>
                <w:szCs w:val="18"/>
              </w:rPr>
            </w:pPr>
          </w:p>
        </w:tc>
        <w:tc>
          <w:tcPr>
            <w:tcW w:w="671" w:type="pct"/>
            <w:vAlign w:val="center"/>
          </w:tcPr>
          <w:p w:rsidR="00403CD6" w:rsidRDefault="00403CD6">
            <w:pPr>
              <w:jc w:val="right"/>
              <w:rPr>
                <w:rFonts w:ascii="Times New Roman" w:hAnsi="Times New Roman" w:cs="Times New Roman"/>
                <w:bCs/>
                <w:sz w:val="18"/>
                <w:szCs w:val="18"/>
              </w:rPr>
            </w:pPr>
          </w:p>
        </w:tc>
        <w:tc>
          <w:tcPr>
            <w:tcW w:w="744"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6"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2</w:t>
            </w:r>
            <w:r>
              <w:rPr>
                <w:rFonts w:ascii="Times New Roman" w:hAnsi="Times New Roman" w:cs="Times New Roman"/>
                <w:sz w:val="18"/>
                <w:szCs w:val="18"/>
              </w:rPr>
              <w:t>至</w:t>
            </w:r>
            <w:r>
              <w:rPr>
                <w:rFonts w:ascii="Times New Roman" w:hAnsi="Times New Roman" w:cs="Times New Roman"/>
                <w:sz w:val="18"/>
                <w:szCs w:val="18"/>
              </w:rPr>
              <w:t>3</w:t>
            </w:r>
            <w:r>
              <w:rPr>
                <w:rFonts w:ascii="Times New Roman" w:hAnsi="Times New Roman" w:cs="Times New Roman"/>
                <w:sz w:val="18"/>
                <w:szCs w:val="18"/>
              </w:rPr>
              <w:t>年</w:t>
            </w:r>
          </w:p>
        </w:tc>
        <w:tc>
          <w:tcPr>
            <w:tcW w:w="74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395,471.70</w:t>
            </w:r>
          </w:p>
        </w:tc>
        <w:tc>
          <w:tcPr>
            <w:tcW w:w="67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16,179.23</w:t>
            </w:r>
          </w:p>
        </w:tc>
        <w:tc>
          <w:tcPr>
            <w:tcW w:w="59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4.09</w:t>
            </w:r>
          </w:p>
        </w:tc>
        <w:tc>
          <w:tcPr>
            <w:tcW w:w="746" w:type="pct"/>
            <w:vAlign w:val="center"/>
          </w:tcPr>
          <w:p w:rsidR="00403CD6" w:rsidRDefault="00403CD6">
            <w:pPr>
              <w:jc w:val="right"/>
              <w:rPr>
                <w:rFonts w:ascii="Times New Roman" w:hAnsi="Times New Roman" w:cs="Times New Roman"/>
                <w:bCs/>
                <w:sz w:val="18"/>
                <w:szCs w:val="18"/>
              </w:rPr>
            </w:pPr>
          </w:p>
        </w:tc>
        <w:tc>
          <w:tcPr>
            <w:tcW w:w="671" w:type="pct"/>
            <w:vAlign w:val="center"/>
          </w:tcPr>
          <w:p w:rsidR="00403CD6" w:rsidRDefault="00403CD6">
            <w:pPr>
              <w:jc w:val="right"/>
              <w:rPr>
                <w:rFonts w:ascii="Times New Roman" w:hAnsi="Times New Roman" w:cs="Times New Roman"/>
                <w:bCs/>
                <w:sz w:val="18"/>
                <w:szCs w:val="18"/>
              </w:rPr>
            </w:pPr>
          </w:p>
        </w:tc>
        <w:tc>
          <w:tcPr>
            <w:tcW w:w="744"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6" w:type="pct"/>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hint="eastAsia"/>
                <w:sz w:val="18"/>
                <w:szCs w:val="18"/>
              </w:rPr>
              <w:t>3</w:t>
            </w:r>
            <w:r>
              <w:rPr>
                <w:rFonts w:ascii="Times New Roman" w:hAnsi="Times New Roman" w:cs="Times New Roman" w:hint="eastAsia"/>
                <w:sz w:val="18"/>
                <w:szCs w:val="18"/>
              </w:rPr>
              <w:t>年以上</w:t>
            </w:r>
          </w:p>
        </w:tc>
        <w:tc>
          <w:tcPr>
            <w:tcW w:w="745" w:type="pct"/>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10,841,735.02</w:t>
            </w:r>
          </w:p>
        </w:tc>
        <w:tc>
          <w:tcPr>
            <w:tcW w:w="671" w:type="pct"/>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874,103.32</w:t>
            </w:r>
          </w:p>
        </w:tc>
        <w:tc>
          <w:tcPr>
            <w:tcW w:w="598" w:type="pct"/>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8.06</w:t>
            </w:r>
          </w:p>
        </w:tc>
        <w:tc>
          <w:tcPr>
            <w:tcW w:w="746" w:type="pct"/>
            <w:vAlign w:val="center"/>
          </w:tcPr>
          <w:p w:rsidR="00403CD6" w:rsidRDefault="00403CD6">
            <w:pPr>
              <w:jc w:val="right"/>
              <w:rPr>
                <w:rFonts w:ascii="Times New Roman" w:hAnsi="Times New Roman" w:cs="Times New Roman"/>
                <w:bCs/>
                <w:sz w:val="18"/>
                <w:szCs w:val="18"/>
              </w:rPr>
            </w:pPr>
          </w:p>
        </w:tc>
        <w:tc>
          <w:tcPr>
            <w:tcW w:w="671" w:type="pct"/>
            <w:vAlign w:val="center"/>
          </w:tcPr>
          <w:p w:rsidR="00403CD6" w:rsidRDefault="00403CD6">
            <w:pPr>
              <w:jc w:val="right"/>
              <w:rPr>
                <w:rFonts w:ascii="Times New Roman" w:hAnsi="Times New Roman" w:cs="Times New Roman"/>
                <w:bCs/>
                <w:sz w:val="18"/>
                <w:szCs w:val="18"/>
              </w:rPr>
            </w:pPr>
          </w:p>
        </w:tc>
        <w:tc>
          <w:tcPr>
            <w:tcW w:w="744"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6"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kern w:val="0"/>
                <w:sz w:val="18"/>
                <w:szCs w:val="18"/>
              </w:rPr>
            </w:pPr>
            <w:r>
              <w:rPr>
                <w:rFonts w:ascii="Times New Roman" w:hAnsi="Times New Roman" w:cs="Times New Roman"/>
                <w:bCs/>
                <w:kern w:val="0"/>
                <w:sz w:val="18"/>
                <w:szCs w:val="18"/>
              </w:rPr>
              <w:t>合计</w:t>
            </w:r>
          </w:p>
        </w:tc>
        <w:tc>
          <w:tcPr>
            <w:tcW w:w="74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11,618,936.16</w:t>
            </w:r>
          </w:p>
        </w:tc>
        <w:tc>
          <w:tcPr>
            <w:tcW w:w="67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899,519.98</w:t>
            </w:r>
          </w:p>
        </w:tc>
        <w:tc>
          <w:tcPr>
            <w:tcW w:w="59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7.74</w:t>
            </w:r>
          </w:p>
        </w:tc>
        <w:tc>
          <w:tcPr>
            <w:tcW w:w="746" w:type="pct"/>
            <w:vAlign w:val="center"/>
          </w:tcPr>
          <w:p w:rsidR="00403CD6" w:rsidRDefault="00403CD6">
            <w:pPr>
              <w:jc w:val="right"/>
              <w:rPr>
                <w:rFonts w:ascii="Times New Roman" w:hAnsi="Times New Roman" w:cs="Times New Roman"/>
                <w:bCs/>
                <w:sz w:val="18"/>
                <w:szCs w:val="18"/>
              </w:rPr>
            </w:pPr>
          </w:p>
        </w:tc>
        <w:tc>
          <w:tcPr>
            <w:tcW w:w="671" w:type="pct"/>
            <w:vAlign w:val="center"/>
          </w:tcPr>
          <w:p w:rsidR="00403CD6" w:rsidRDefault="00403CD6">
            <w:pPr>
              <w:jc w:val="right"/>
              <w:rPr>
                <w:rFonts w:ascii="Times New Roman" w:hAnsi="Times New Roman" w:cs="Times New Roman"/>
                <w:bCs/>
                <w:sz w:val="18"/>
                <w:szCs w:val="18"/>
              </w:rPr>
            </w:pPr>
          </w:p>
        </w:tc>
        <w:tc>
          <w:tcPr>
            <w:tcW w:w="744" w:type="pct"/>
            <w:vAlign w:val="center"/>
          </w:tcPr>
          <w:p w:rsidR="00403CD6" w:rsidRDefault="00403CD6">
            <w:pPr>
              <w:jc w:val="right"/>
              <w:rPr>
                <w:rFonts w:ascii="Times New Roman" w:hAnsi="Times New Roman" w:cs="Times New Roman"/>
                <w:bCs/>
                <w:sz w:val="18"/>
                <w:szCs w:val="18"/>
              </w:rPr>
            </w:pPr>
          </w:p>
        </w:tc>
      </w:tr>
    </w:tbl>
    <w:p w:rsidR="00403CD6" w:rsidRDefault="00403CD6">
      <w:pPr>
        <w:spacing w:line="240" w:lineRule="exact"/>
        <w:rPr>
          <w:rFonts w:ascii="Arial Narrow" w:eastAsia="仿宋_GB2312" w:hAnsi="Arial Narrow"/>
          <w:sz w:val="24"/>
        </w:rPr>
      </w:pPr>
    </w:p>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sz w:val="18"/>
          <w:szCs w:val="18"/>
        </w:rPr>
        <w:t>组合计提项目：</w:t>
      </w:r>
      <w:r>
        <w:rPr>
          <w:rFonts w:asciiTheme="minorEastAsia" w:hAnsiTheme="minorEastAsia" w:cstheme="minorEastAsia" w:hint="eastAsia"/>
          <w:sz w:val="18"/>
          <w:szCs w:val="18"/>
        </w:rPr>
        <w:t>应收保证金</w:t>
      </w:r>
    </w:p>
    <w:p w:rsidR="00403CD6" w:rsidRDefault="00E91A59">
      <w:pPr>
        <w:spacing w:before="40" w:after="40" w:line="240" w:lineRule="exact"/>
        <w:jc w:val="right"/>
        <w:rPr>
          <w:rFonts w:ascii="Arial Narrow" w:eastAsia="仿宋_GB2312" w:hAnsi="Arial Narrow"/>
          <w:sz w:val="24"/>
        </w:rPr>
      </w:pPr>
      <w:r>
        <w:rPr>
          <w:rFonts w:asciiTheme="minorEastAsia" w:hAnsiTheme="minorEastAsia" w:cstheme="minorEastAsia" w:hint="eastAsia"/>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7"/>
        <w:gridCol w:w="1470"/>
        <w:gridCol w:w="1322"/>
        <w:gridCol w:w="1180"/>
        <w:gridCol w:w="1470"/>
        <w:gridCol w:w="1324"/>
        <w:gridCol w:w="1460"/>
      </w:tblGrid>
      <w:tr w:rsidR="00403CD6">
        <w:trPr>
          <w:cantSplit/>
          <w:trHeight w:val="284"/>
          <w:tblHeader/>
          <w:jc w:val="center"/>
        </w:trPr>
        <w:tc>
          <w:tcPr>
            <w:tcW w:w="825" w:type="pct"/>
            <w:vMerge w:val="restart"/>
            <w:shd w:val="clear" w:color="auto" w:fill="D9D9D9" w:themeFill="background1" w:themeFillShade="D9"/>
            <w:vAlign w:val="center"/>
          </w:tcPr>
          <w:p w:rsidR="00403CD6" w:rsidRDefault="00403CD6">
            <w:pPr>
              <w:widowControl/>
              <w:adjustRightInd w:val="0"/>
              <w:snapToGrid w:val="0"/>
              <w:rPr>
                <w:rFonts w:ascii="Times New Roman" w:hAnsi="Times New Roman" w:cs="Times New Roman"/>
                <w:bCs/>
                <w:sz w:val="18"/>
                <w:szCs w:val="18"/>
              </w:rPr>
            </w:pPr>
          </w:p>
        </w:tc>
        <w:tc>
          <w:tcPr>
            <w:tcW w:w="2016" w:type="pct"/>
            <w:gridSpan w:val="3"/>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期末余额</w:t>
            </w:r>
          </w:p>
        </w:tc>
        <w:tc>
          <w:tcPr>
            <w:tcW w:w="2160" w:type="pct"/>
            <w:gridSpan w:val="3"/>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上年年末余额</w:t>
            </w:r>
          </w:p>
        </w:tc>
      </w:tr>
      <w:tr w:rsidR="00403CD6">
        <w:trPr>
          <w:cantSplit/>
          <w:trHeight w:val="284"/>
          <w:tblHeader/>
          <w:jc w:val="center"/>
        </w:trPr>
        <w:tc>
          <w:tcPr>
            <w:tcW w:w="825" w:type="pct"/>
            <w:vMerge/>
            <w:shd w:val="clear" w:color="auto" w:fill="D9D9D9" w:themeFill="background1" w:themeFillShade="D9"/>
          </w:tcPr>
          <w:p w:rsidR="00403CD6" w:rsidRDefault="00403CD6">
            <w:pPr>
              <w:adjustRightInd w:val="0"/>
              <w:snapToGrid w:val="0"/>
              <w:jc w:val="center"/>
              <w:rPr>
                <w:rFonts w:ascii="Times New Roman" w:hAnsi="Times New Roman" w:cs="Times New Roman"/>
                <w:bCs/>
                <w:sz w:val="18"/>
                <w:szCs w:val="18"/>
              </w:rPr>
            </w:pPr>
          </w:p>
        </w:tc>
        <w:tc>
          <w:tcPr>
            <w:tcW w:w="746"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长期应收款</w:t>
            </w:r>
          </w:p>
        </w:tc>
        <w:tc>
          <w:tcPr>
            <w:tcW w:w="671"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坏账准备</w:t>
            </w:r>
          </w:p>
        </w:tc>
        <w:tc>
          <w:tcPr>
            <w:tcW w:w="599"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预期信用损失率</w:t>
            </w:r>
            <w:r>
              <w:rPr>
                <w:rFonts w:ascii="Times New Roman" w:hAnsi="Times New Roman" w:cs="Times New Roman"/>
                <w:bCs/>
                <w:sz w:val="18"/>
                <w:szCs w:val="18"/>
              </w:rPr>
              <w:t>(%)</w:t>
            </w:r>
          </w:p>
        </w:tc>
        <w:tc>
          <w:tcPr>
            <w:tcW w:w="746"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长期应收款</w:t>
            </w:r>
          </w:p>
        </w:tc>
        <w:tc>
          <w:tcPr>
            <w:tcW w:w="672"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坏账准备</w:t>
            </w:r>
          </w:p>
        </w:tc>
        <w:tc>
          <w:tcPr>
            <w:tcW w:w="742"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预期信用损失率</w:t>
            </w:r>
            <w:r>
              <w:rPr>
                <w:rFonts w:ascii="Times New Roman" w:hAnsi="Times New Roman" w:cs="Times New Roman"/>
                <w:bCs/>
                <w:sz w:val="18"/>
                <w:szCs w:val="18"/>
              </w:rPr>
              <w:t>(%)</w:t>
            </w:r>
          </w:p>
        </w:tc>
      </w:tr>
      <w:tr w:rsidR="00403CD6">
        <w:trPr>
          <w:cantSplit/>
          <w:trHeight w:val="284"/>
          <w:jc w:val="center"/>
        </w:trPr>
        <w:tc>
          <w:tcPr>
            <w:tcW w:w="825"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1</w:t>
            </w:r>
            <w:r>
              <w:rPr>
                <w:rFonts w:ascii="Times New Roman" w:hAnsi="Times New Roman" w:cs="Times New Roman"/>
                <w:sz w:val="18"/>
                <w:szCs w:val="18"/>
              </w:rPr>
              <w:t>年以内</w:t>
            </w:r>
          </w:p>
        </w:tc>
        <w:tc>
          <w:tcPr>
            <w:tcW w:w="746" w:type="pct"/>
            <w:vAlign w:val="center"/>
          </w:tcPr>
          <w:p w:rsidR="00403CD6" w:rsidRDefault="00403CD6">
            <w:pPr>
              <w:jc w:val="right"/>
              <w:rPr>
                <w:rFonts w:ascii="Times New Roman" w:hAnsi="Times New Roman" w:cs="Times New Roman"/>
                <w:bCs/>
                <w:sz w:val="18"/>
                <w:szCs w:val="18"/>
              </w:rPr>
            </w:pPr>
          </w:p>
        </w:tc>
        <w:tc>
          <w:tcPr>
            <w:tcW w:w="671" w:type="pct"/>
            <w:vAlign w:val="center"/>
          </w:tcPr>
          <w:p w:rsidR="00403CD6" w:rsidRDefault="00403CD6">
            <w:pPr>
              <w:jc w:val="right"/>
              <w:rPr>
                <w:rFonts w:ascii="Times New Roman" w:hAnsi="Times New Roman" w:cs="Times New Roman"/>
                <w:bCs/>
                <w:sz w:val="18"/>
                <w:szCs w:val="18"/>
              </w:rPr>
            </w:pPr>
          </w:p>
        </w:tc>
        <w:tc>
          <w:tcPr>
            <w:tcW w:w="599" w:type="pct"/>
            <w:vAlign w:val="center"/>
          </w:tcPr>
          <w:p w:rsidR="00403CD6" w:rsidRDefault="00403CD6">
            <w:pPr>
              <w:jc w:val="right"/>
              <w:rPr>
                <w:rFonts w:ascii="Times New Roman" w:hAnsi="Times New Roman" w:cs="Times New Roman"/>
                <w:bCs/>
                <w:sz w:val="18"/>
                <w:szCs w:val="18"/>
              </w:rPr>
            </w:pPr>
          </w:p>
        </w:tc>
        <w:tc>
          <w:tcPr>
            <w:tcW w:w="746" w:type="pct"/>
            <w:vAlign w:val="center"/>
          </w:tcPr>
          <w:p w:rsidR="00403CD6" w:rsidRDefault="00403CD6">
            <w:pPr>
              <w:jc w:val="right"/>
              <w:rPr>
                <w:rFonts w:ascii="Times New Roman" w:hAnsi="Times New Roman" w:cs="Times New Roman"/>
                <w:bCs/>
                <w:sz w:val="18"/>
                <w:szCs w:val="18"/>
              </w:rPr>
            </w:pPr>
          </w:p>
        </w:tc>
        <w:tc>
          <w:tcPr>
            <w:tcW w:w="672" w:type="pct"/>
            <w:vAlign w:val="center"/>
          </w:tcPr>
          <w:p w:rsidR="00403CD6" w:rsidRDefault="00403CD6">
            <w:pPr>
              <w:adjustRightInd w:val="0"/>
              <w:snapToGrid w:val="0"/>
              <w:rPr>
                <w:rFonts w:ascii="Times New Roman" w:hAnsi="Times New Roman" w:cs="Times New Roman"/>
                <w:bCs/>
                <w:sz w:val="18"/>
                <w:szCs w:val="18"/>
              </w:rPr>
            </w:pPr>
          </w:p>
        </w:tc>
        <w:tc>
          <w:tcPr>
            <w:tcW w:w="742"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5"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1</w:t>
            </w:r>
            <w:r>
              <w:rPr>
                <w:rFonts w:ascii="Times New Roman" w:hAnsi="Times New Roman" w:cs="Times New Roman"/>
                <w:sz w:val="18"/>
                <w:szCs w:val="18"/>
              </w:rPr>
              <w:t>至</w:t>
            </w:r>
            <w:r>
              <w:rPr>
                <w:rFonts w:ascii="Times New Roman" w:hAnsi="Times New Roman" w:cs="Times New Roman"/>
                <w:sz w:val="18"/>
                <w:szCs w:val="18"/>
              </w:rPr>
              <w:t>2</w:t>
            </w:r>
            <w:r>
              <w:rPr>
                <w:rFonts w:ascii="Times New Roman" w:hAnsi="Times New Roman" w:cs="Times New Roman"/>
                <w:sz w:val="18"/>
                <w:szCs w:val="18"/>
              </w:rPr>
              <w:t>年</w:t>
            </w: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2,204,172.55</w:t>
            </w:r>
          </w:p>
        </w:tc>
        <w:tc>
          <w:tcPr>
            <w:tcW w:w="671" w:type="pct"/>
            <w:shd w:val="clear" w:color="auto" w:fill="auto"/>
            <w:vAlign w:val="center"/>
          </w:tcPr>
          <w:p w:rsidR="00403CD6" w:rsidRDefault="00403CD6">
            <w:pPr>
              <w:jc w:val="right"/>
              <w:rPr>
                <w:rFonts w:ascii="Times New Roman" w:hAnsi="Times New Roman" w:cs="Times New Roman"/>
                <w:sz w:val="18"/>
                <w:szCs w:val="18"/>
              </w:rPr>
            </w:pPr>
          </w:p>
        </w:tc>
        <w:tc>
          <w:tcPr>
            <w:tcW w:w="599" w:type="pct"/>
            <w:shd w:val="clear" w:color="auto" w:fill="auto"/>
            <w:vAlign w:val="center"/>
          </w:tcPr>
          <w:p w:rsidR="00403CD6" w:rsidRDefault="00403CD6">
            <w:pPr>
              <w:jc w:val="right"/>
              <w:rPr>
                <w:rFonts w:ascii="Times New Roman" w:hAnsi="Times New Roman" w:cs="Times New Roman"/>
                <w:sz w:val="18"/>
                <w:szCs w:val="18"/>
              </w:rPr>
            </w:pP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136,426,669.75</w:t>
            </w:r>
          </w:p>
        </w:tc>
        <w:tc>
          <w:tcPr>
            <w:tcW w:w="672" w:type="pct"/>
            <w:vAlign w:val="center"/>
          </w:tcPr>
          <w:p w:rsidR="00403CD6" w:rsidRDefault="00403CD6">
            <w:pPr>
              <w:adjustRightInd w:val="0"/>
              <w:snapToGrid w:val="0"/>
              <w:rPr>
                <w:rFonts w:ascii="Times New Roman" w:hAnsi="Times New Roman" w:cs="Times New Roman"/>
                <w:bCs/>
                <w:sz w:val="18"/>
                <w:szCs w:val="18"/>
              </w:rPr>
            </w:pPr>
          </w:p>
        </w:tc>
        <w:tc>
          <w:tcPr>
            <w:tcW w:w="742"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5"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2</w:t>
            </w:r>
            <w:r>
              <w:rPr>
                <w:rFonts w:ascii="Times New Roman" w:hAnsi="Times New Roman" w:cs="Times New Roman"/>
                <w:sz w:val="18"/>
                <w:szCs w:val="18"/>
              </w:rPr>
              <w:t>至</w:t>
            </w:r>
            <w:r>
              <w:rPr>
                <w:rFonts w:ascii="Times New Roman" w:hAnsi="Times New Roman" w:cs="Times New Roman"/>
                <w:sz w:val="18"/>
                <w:szCs w:val="18"/>
              </w:rPr>
              <w:t>3</w:t>
            </w:r>
            <w:r>
              <w:rPr>
                <w:rFonts w:ascii="Times New Roman" w:hAnsi="Times New Roman" w:cs="Times New Roman"/>
                <w:sz w:val="18"/>
                <w:szCs w:val="18"/>
              </w:rPr>
              <w:t>年</w:t>
            </w: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243,396.41</w:t>
            </w:r>
          </w:p>
        </w:tc>
        <w:tc>
          <w:tcPr>
            <w:tcW w:w="671" w:type="pct"/>
            <w:shd w:val="clear" w:color="auto" w:fill="auto"/>
            <w:vAlign w:val="center"/>
          </w:tcPr>
          <w:p w:rsidR="00403CD6" w:rsidRDefault="00403CD6">
            <w:pPr>
              <w:jc w:val="right"/>
              <w:rPr>
                <w:rFonts w:ascii="Times New Roman" w:hAnsi="Times New Roman" w:cs="Times New Roman"/>
                <w:sz w:val="18"/>
                <w:szCs w:val="18"/>
              </w:rPr>
            </w:pPr>
          </w:p>
        </w:tc>
        <w:tc>
          <w:tcPr>
            <w:tcW w:w="599" w:type="pct"/>
            <w:shd w:val="clear" w:color="auto" w:fill="auto"/>
            <w:vAlign w:val="center"/>
          </w:tcPr>
          <w:p w:rsidR="00403CD6" w:rsidRDefault="00403CD6">
            <w:pPr>
              <w:jc w:val="right"/>
              <w:rPr>
                <w:rFonts w:ascii="Times New Roman" w:hAnsi="Times New Roman" w:cs="Times New Roman"/>
                <w:sz w:val="18"/>
                <w:szCs w:val="18"/>
              </w:rPr>
            </w:pP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38,434,359.53</w:t>
            </w:r>
          </w:p>
        </w:tc>
        <w:tc>
          <w:tcPr>
            <w:tcW w:w="672" w:type="pct"/>
            <w:vAlign w:val="center"/>
          </w:tcPr>
          <w:p w:rsidR="00403CD6" w:rsidRDefault="00403CD6">
            <w:pPr>
              <w:adjustRightInd w:val="0"/>
              <w:snapToGrid w:val="0"/>
              <w:rPr>
                <w:rFonts w:ascii="Times New Roman" w:hAnsi="Times New Roman" w:cs="Times New Roman"/>
                <w:bCs/>
                <w:sz w:val="18"/>
                <w:szCs w:val="18"/>
              </w:rPr>
            </w:pPr>
          </w:p>
        </w:tc>
        <w:tc>
          <w:tcPr>
            <w:tcW w:w="742"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5" w:type="pct"/>
            <w:vAlign w:val="center"/>
          </w:tcPr>
          <w:p w:rsidR="00403CD6" w:rsidRDefault="00E91A59">
            <w:pPr>
              <w:adjustRightInd w:val="0"/>
              <w:snapToGrid w:val="0"/>
              <w:rPr>
                <w:rFonts w:ascii="Times New Roman" w:hAnsi="Times New Roman" w:cs="Times New Roman"/>
                <w:bCs/>
                <w:sz w:val="18"/>
                <w:szCs w:val="18"/>
              </w:rPr>
            </w:pPr>
            <w:r>
              <w:rPr>
                <w:rFonts w:ascii="Times New Roman" w:hAnsi="Times New Roman" w:cs="Times New Roman"/>
                <w:sz w:val="18"/>
                <w:szCs w:val="18"/>
              </w:rPr>
              <w:t>3</w:t>
            </w:r>
            <w:r>
              <w:rPr>
                <w:rFonts w:ascii="Times New Roman" w:hAnsi="Times New Roman" w:cs="Times New Roman"/>
                <w:sz w:val="18"/>
                <w:szCs w:val="18"/>
              </w:rPr>
              <w:t>年以上</w:t>
            </w:r>
          </w:p>
        </w:tc>
        <w:tc>
          <w:tcPr>
            <w:tcW w:w="746" w:type="pct"/>
            <w:shd w:val="clear" w:color="auto" w:fill="auto"/>
            <w:vAlign w:val="center"/>
          </w:tcPr>
          <w:p w:rsidR="00403CD6" w:rsidRDefault="00403CD6">
            <w:pPr>
              <w:jc w:val="right"/>
              <w:rPr>
                <w:rFonts w:ascii="Times New Roman" w:hAnsi="Times New Roman" w:cs="Times New Roman"/>
                <w:sz w:val="18"/>
                <w:szCs w:val="18"/>
              </w:rPr>
            </w:pPr>
          </w:p>
        </w:tc>
        <w:tc>
          <w:tcPr>
            <w:tcW w:w="671" w:type="pct"/>
            <w:shd w:val="clear" w:color="auto" w:fill="auto"/>
            <w:vAlign w:val="center"/>
          </w:tcPr>
          <w:p w:rsidR="00403CD6" w:rsidRDefault="00403CD6">
            <w:pPr>
              <w:jc w:val="right"/>
              <w:rPr>
                <w:rFonts w:ascii="Times New Roman" w:hAnsi="Times New Roman" w:cs="Times New Roman"/>
                <w:sz w:val="18"/>
                <w:szCs w:val="18"/>
              </w:rPr>
            </w:pPr>
          </w:p>
        </w:tc>
        <w:tc>
          <w:tcPr>
            <w:tcW w:w="599" w:type="pct"/>
            <w:shd w:val="clear" w:color="auto" w:fill="auto"/>
            <w:vAlign w:val="center"/>
          </w:tcPr>
          <w:p w:rsidR="00403CD6" w:rsidRDefault="00403CD6">
            <w:pPr>
              <w:jc w:val="right"/>
              <w:rPr>
                <w:rFonts w:ascii="Times New Roman" w:hAnsi="Times New Roman" w:cs="Times New Roman"/>
                <w:sz w:val="18"/>
                <w:szCs w:val="18"/>
              </w:rPr>
            </w:pP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26,737,059.62</w:t>
            </w:r>
          </w:p>
        </w:tc>
        <w:tc>
          <w:tcPr>
            <w:tcW w:w="672" w:type="pct"/>
            <w:vAlign w:val="center"/>
          </w:tcPr>
          <w:p w:rsidR="00403CD6" w:rsidRDefault="00403CD6">
            <w:pPr>
              <w:adjustRightInd w:val="0"/>
              <w:snapToGrid w:val="0"/>
              <w:rPr>
                <w:rFonts w:ascii="Times New Roman" w:hAnsi="Times New Roman" w:cs="Times New Roman"/>
                <w:bCs/>
                <w:sz w:val="18"/>
                <w:szCs w:val="18"/>
              </w:rPr>
            </w:pPr>
          </w:p>
        </w:tc>
        <w:tc>
          <w:tcPr>
            <w:tcW w:w="742" w:type="pct"/>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825"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bCs/>
                <w:kern w:val="0"/>
                <w:sz w:val="18"/>
                <w:szCs w:val="18"/>
              </w:rPr>
            </w:pPr>
            <w:r>
              <w:rPr>
                <w:rFonts w:ascii="Times New Roman" w:hAnsi="Times New Roman" w:cs="Times New Roman"/>
                <w:bCs/>
                <w:kern w:val="0"/>
                <w:sz w:val="18"/>
                <w:szCs w:val="18"/>
              </w:rPr>
              <w:t>合计</w:t>
            </w: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2,447,568.96</w:t>
            </w:r>
          </w:p>
        </w:tc>
        <w:tc>
          <w:tcPr>
            <w:tcW w:w="671" w:type="pct"/>
            <w:shd w:val="clear" w:color="auto" w:fill="auto"/>
            <w:vAlign w:val="center"/>
          </w:tcPr>
          <w:p w:rsidR="00403CD6" w:rsidRDefault="00403CD6">
            <w:pPr>
              <w:jc w:val="right"/>
              <w:rPr>
                <w:rFonts w:ascii="Times New Roman" w:hAnsi="Times New Roman" w:cs="Times New Roman"/>
                <w:sz w:val="18"/>
                <w:szCs w:val="18"/>
              </w:rPr>
            </w:pPr>
          </w:p>
        </w:tc>
        <w:tc>
          <w:tcPr>
            <w:tcW w:w="599" w:type="pct"/>
            <w:shd w:val="clear" w:color="auto" w:fill="auto"/>
            <w:vAlign w:val="center"/>
          </w:tcPr>
          <w:p w:rsidR="00403CD6" w:rsidRDefault="00403CD6">
            <w:pPr>
              <w:jc w:val="right"/>
              <w:rPr>
                <w:rFonts w:ascii="Times New Roman" w:hAnsi="Times New Roman" w:cs="Times New Roman"/>
                <w:sz w:val="18"/>
                <w:szCs w:val="18"/>
              </w:rPr>
            </w:pPr>
          </w:p>
        </w:tc>
        <w:tc>
          <w:tcPr>
            <w:tcW w:w="74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201,598,088.90</w:t>
            </w:r>
          </w:p>
        </w:tc>
        <w:tc>
          <w:tcPr>
            <w:tcW w:w="672" w:type="pct"/>
            <w:vAlign w:val="center"/>
          </w:tcPr>
          <w:p w:rsidR="00403CD6" w:rsidRDefault="00403CD6">
            <w:pPr>
              <w:jc w:val="right"/>
              <w:rPr>
                <w:rFonts w:ascii="Times New Roman" w:hAnsi="Times New Roman" w:cs="Times New Roman"/>
                <w:bCs/>
                <w:sz w:val="18"/>
                <w:szCs w:val="18"/>
              </w:rPr>
            </w:pPr>
          </w:p>
        </w:tc>
        <w:tc>
          <w:tcPr>
            <w:tcW w:w="742" w:type="pct"/>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本期计提、收回或转回的坏账准备的情况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0"/>
        <w:gridCol w:w="1251"/>
        <w:gridCol w:w="1277"/>
        <w:gridCol w:w="1133"/>
        <w:gridCol w:w="1133"/>
        <w:gridCol w:w="2246"/>
        <w:gridCol w:w="1403"/>
      </w:tblGrid>
      <w:tr w:rsidR="00403CD6">
        <w:trPr>
          <w:trHeight w:val="284"/>
        </w:trPr>
        <w:tc>
          <w:tcPr>
            <w:tcW w:w="71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类别</w:t>
            </w:r>
          </w:p>
        </w:tc>
        <w:tc>
          <w:tcPr>
            <w:tcW w:w="63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2938"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本期变动金额</w:t>
            </w:r>
          </w:p>
        </w:tc>
        <w:tc>
          <w:tcPr>
            <w:tcW w:w="71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715" w:type="pct"/>
            <w:vMerge/>
            <w:vAlign w:val="center"/>
          </w:tcPr>
          <w:p w:rsidR="00403CD6" w:rsidRDefault="00403CD6">
            <w:pPr>
              <w:widowControl/>
              <w:rPr>
                <w:rFonts w:ascii="Times New Roman" w:eastAsia="宋体" w:hAnsi="Times New Roman" w:cs="Times New Roman"/>
                <w:sz w:val="18"/>
                <w:szCs w:val="18"/>
              </w:rPr>
            </w:pPr>
          </w:p>
        </w:tc>
        <w:tc>
          <w:tcPr>
            <w:tcW w:w="635" w:type="pct"/>
            <w:vMerge/>
            <w:vAlign w:val="center"/>
          </w:tcPr>
          <w:p w:rsidR="00403CD6" w:rsidRDefault="00403CD6">
            <w:pPr>
              <w:widowControl/>
              <w:rPr>
                <w:rFonts w:ascii="Times New Roman" w:eastAsia="宋体" w:hAnsi="Times New Roman" w:cs="Times New Roman"/>
                <w:sz w:val="18"/>
                <w:szCs w:val="18"/>
              </w:rPr>
            </w:pP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w:t>
            </w:r>
          </w:p>
        </w:tc>
        <w:tc>
          <w:tcPr>
            <w:tcW w:w="5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收回或转回</w:t>
            </w:r>
          </w:p>
        </w:tc>
        <w:tc>
          <w:tcPr>
            <w:tcW w:w="5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转销或核销</w:t>
            </w:r>
          </w:p>
        </w:tc>
        <w:tc>
          <w:tcPr>
            <w:tcW w:w="114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分类至</w:t>
            </w:r>
            <w:r>
              <w:rPr>
                <w:rFonts w:ascii="Times New Roman" w:eastAsia="宋体" w:hAnsi="Times New Roman" w:cs="Times New Roman"/>
                <w:sz w:val="18"/>
                <w:szCs w:val="18"/>
              </w:rPr>
              <w:t>1</w:t>
            </w:r>
            <w:r>
              <w:rPr>
                <w:rFonts w:ascii="Times New Roman" w:eastAsia="宋体" w:hAnsi="Times New Roman" w:cs="Times New Roman"/>
                <w:sz w:val="18"/>
                <w:szCs w:val="18"/>
              </w:rPr>
              <w:t>年内到期的非流动资产</w:t>
            </w:r>
          </w:p>
        </w:tc>
        <w:tc>
          <w:tcPr>
            <w:tcW w:w="712"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71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6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2,810,111.11</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25,438,884.77</w:t>
            </w:r>
          </w:p>
        </w:tc>
        <w:tc>
          <w:tcPr>
            <w:tcW w:w="575" w:type="pct"/>
            <w:vAlign w:val="center"/>
          </w:tcPr>
          <w:p w:rsidR="00403CD6" w:rsidRDefault="00403CD6">
            <w:pPr>
              <w:spacing w:line="240" w:lineRule="exact"/>
              <w:jc w:val="right"/>
              <w:rPr>
                <w:rFonts w:ascii="Times New Roman" w:eastAsia="宋体" w:hAnsi="Times New Roman" w:cs="Times New Roman"/>
                <w:sz w:val="18"/>
                <w:szCs w:val="18"/>
              </w:rPr>
            </w:pPr>
          </w:p>
        </w:tc>
        <w:tc>
          <w:tcPr>
            <w:tcW w:w="575" w:type="pct"/>
            <w:vAlign w:val="center"/>
          </w:tcPr>
          <w:p w:rsidR="00403CD6" w:rsidRDefault="00403CD6">
            <w:pPr>
              <w:spacing w:line="240" w:lineRule="exact"/>
              <w:jc w:val="right"/>
              <w:rPr>
                <w:rFonts w:ascii="Times New Roman" w:eastAsia="宋体" w:hAnsi="Times New Roman" w:cs="Times New Roman"/>
                <w:sz w:val="18"/>
                <w:szCs w:val="18"/>
              </w:rPr>
            </w:pPr>
          </w:p>
        </w:tc>
        <w:tc>
          <w:tcPr>
            <w:tcW w:w="114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13,290,274.99</w:t>
            </w:r>
          </w:p>
        </w:tc>
        <w:tc>
          <w:tcPr>
            <w:tcW w:w="712"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14,958,720.89</w:t>
            </w:r>
          </w:p>
        </w:tc>
      </w:tr>
      <w:tr w:rsidR="00403CD6">
        <w:trPr>
          <w:trHeight w:val="284"/>
        </w:trPr>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6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2,810,111.11</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25,438,884.77</w:t>
            </w:r>
          </w:p>
        </w:tc>
        <w:tc>
          <w:tcPr>
            <w:tcW w:w="575" w:type="pct"/>
            <w:vAlign w:val="center"/>
          </w:tcPr>
          <w:p w:rsidR="00403CD6" w:rsidRDefault="00403CD6">
            <w:pPr>
              <w:spacing w:line="240" w:lineRule="exact"/>
              <w:jc w:val="right"/>
              <w:rPr>
                <w:rFonts w:ascii="Times New Roman" w:eastAsia="宋体" w:hAnsi="Times New Roman" w:cs="Times New Roman"/>
                <w:sz w:val="18"/>
                <w:szCs w:val="18"/>
              </w:rPr>
            </w:pPr>
          </w:p>
        </w:tc>
        <w:tc>
          <w:tcPr>
            <w:tcW w:w="575" w:type="pct"/>
            <w:vAlign w:val="center"/>
          </w:tcPr>
          <w:p w:rsidR="00403CD6" w:rsidRDefault="00403CD6">
            <w:pPr>
              <w:spacing w:line="240" w:lineRule="exact"/>
              <w:jc w:val="right"/>
              <w:rPr>
                <w:rFonts w:ascii="Times New Roman" w:eastAsia="宋体" w:hAnsi="Times New Roman" w:cs="Times New Roman"/>
                <w:sz w:val="18"/>
                <w:szCs w:val="18"/>
              </w:rPr>
            </w:pPr>
          </w:p>
        </w:tc>
        <w:tc>
          <w:tcPr>
            <w:tcW w:w="114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13,290,274.99</w:t>
            </w:r>
          </w:p>
        </w:tc>
        <w:tc>
          <w:tcPr>
            <w:tcW w:w="7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14,958,720.89</w:t>
            </w:r>
          </w:p>
        </w:tc>
      </w:tr>
    </w:tbl>
    <w:p w:rsidR="00403CD6" w:rsidRDefault="00E91A59">
      <w:pPr>
        <w:keepNext/>
        <w:keepLines/>
        <w:spacing w:before="300" w:after="300" w:line="280" w:lineRule="exact"/>
        <w:outlineLvl w:val="2"/>
        <w:rPr>
          <w:rFonts w:ascii="宋体" w:eastAsia="宋体" w:hAnsi="宋体" w:cs="宋体"/>
          <w:b/>
          <w:bCs/>
          <w:szCs w:val="21"/>
        </w:rPr>
      </w:pPr>
      <w:bookmarkStart w:id="62" w:name="_Toc989265"/>
      <w:r>
        <w:rPr>
          <w:rFonts w:ascii="宋体" w:eastAsia="宋体" w:hAnsi="宋体" w:cs="宋体" w:hint="eastAsia"/>
          <w:b/>
          <w:bCs/>
          <w:szCs w:val="21"/>
        </w:rPr>
        <w:t>12、长期股权投资</w:t>
      </w:r>
      <w:bookmarkEnd w:id="62"/>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5"/>
        <w:gridCol w:w="822"/>
        <w:gridCol w:w="578"/>
        <w:gridCol w:w="601"/>
        <w:gridCol w:w="651"/>
        <w:gridCol w:w="921"/>
        <w:gridCol w:w="651"/>
        <w:gridCol w:w="688"/>
        <w:gridCol w:w="799"/>
        <w:gridCol w:w="626"/>
        <w:gridCol w:w="521"/>
        <w:gridCol w:w="822"/>
        <w:gridCol w:w="498"/>
      </w:tblGrid>
      <w:tr w:rsidR="00403CD6">
        <w:trPr>
          <w:trHeight w:val="284"/>
        </w:trPr>
        <w:tc>
          <w:tcPr>
            <w:tcW w:w="781"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被投资单位</w:t>
            </w:r>
          </w:p>
        </w:tc>
        <w:tc>
          <w:tcPr>
            <w:tcW w:w="42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期初余额（账面价值）</w:t>
            </w:r>
          </w:p>
        </w:tc>
        <w:tc>
          <w:tcPr>
            <w:tcW w:w="29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减值准备期初余额</w:t>
            </w:r>
          </w:p>
        </w:tc>
        <w:tc>
          <w:tcPr>
            <w:tcW w:w="2816" w:type="pct"/>
            <w:gridSpan w:val="8"/>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本期增减变动</w:t>
            </w:r>
          </w:p>
        </w:tc>
        <w:tc>
          <w:tcPr>
            <w:tcW w:w="42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期末余额（账面价值）</w:t>
            </w:r>
          </w:p>
        </w:tc>
        <w:tc>
          <w:tcPr>
            <w:tcW w:w="25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减值准备期末余额</w:t>
            </w:r>
          </w:p>
        </w:tc>
      </w:tr>
      <w:tr w:rsidR="00403CD6">
        <w:trPr>
          <w:trHeight w:val="284"/>
        </w:trPr>
        <w:tc>
          <w:tcPr>
            <w:tcW w:w="781" w:type="pct"/>
            <w:vMerge/>
            <w:vAlign w:val="center"/>
          </w:tcPr>
          <w:p w:rsidR="00403CD6" w:rsidRDefault="00403CD6">
            <w:pPr>
              <w:widowControl/>
              <w:rPr>
                <w:rFonts w:ascii="Times New Roman" w:eastAsia="宋体" w:hAnsi="Times New Roman" w:cs="Times New Roman"/>
                <w:sz w:val="18"/>
                <w:szCs w:val="18"/>
              </w:rPr>
            </w:pPr>
          </w:p>
        </w:tc>
        <w:tc>
          <w:tcPr>
            <w:tcW w:w="424" w:type="pct"/>
            <w:vMerge/>
            <w:vAlign w:val="center"/>
          </w:tcPr>
          <w:p w:rsidR="00403CD6" w:rsidRDefault="00403CD6">
            <w:pPr>
              <w:widowControl/>
              <w:rPr>
                <w:rFonts w:ascii="Times New Roman" w:eastAsia="宋体" w:hAnsi="Times New Roman" w:cs="Times New Roman"/>
                <w:sz w:val="18"/>
                <w:szCs w:val="18"/>
              </w:rPr>
            </w:pPr>
          </w:p>
        </w:tc>
        <w:tc>
          <w:tcPr>
            <w:tcW w:w="298" w:type="pct"/>
            <w:vMerge/>
            <w:vAlign w:val="center"/>
          </w:tcPr>
          <w:p w:rsidR="00403CD6" w:rsidRDefault="00403CD6">
            <w:pPr>
              <w:widowControl/>
              <w:rPr>
                <w:rFonts w:ascii="Times New Roman" w:eastAsia="宋体" w:hAnsi="Times New Roman" w:cs="Times New Roman"/>
                <w:sz w:val="18"/>
                <w:szCs w:val="18"/>
              </w:rPr>
            </w:pPr>
          </w:p>
        </w:tc>
        <w:tc>
          <w:tcPr>
            <w:tcW w:w="31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追加投资</w:t>
            </w:r>
          </w:p>
        </w:tc>
        <w:tc>
          <w:tcPr>
            <w:tcW w:w="33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减少投资</w:t>
            </w:r>
          </w:p>
        </w:tc>
        <w:tc>
          <w:tcPr>
            <w:tcW w:w="4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权益法下确认的投资损益</w:t>
            </w:r>
          </w:p>
        </w:tc>
        <w:tc>
          <w:tcPr>
            <w:tcW w:w="33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其他综合收益调整</w:t>
            </w:r>
          </w:p>
        </w:tc>
        <w:tc>
          <w:tcPr>
            <w:tcW w:w="35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其他权益变动</w:t>
            </w:r>
          </w:p>
        </w:tc>
        <w:tc>
          <w:tcPr>
            <w:tcW w:w="4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宣告发放现金股利或利润</w:t>
            </w:r>
          </w:p>
        </w:tc>
        <w:tc>
          <w:tcPr>
            <w:tcW w:w="32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计提减值准备</w:t>
            </w:r>
          </w:p>
        </w:tc>
        <w:tc>
          <w:tcPr>
            <w:tcW w:w="2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424" w:type="pct"/>
            <w:vMerge/>
            <w:vAlign w:val="center"/>
          </w:tcPr>
          <w:p w:rsidR="00403CD6" w:rsidRDefault="00403CD6">
            <w:pPr>
              <w:widowControl/>
              <w:rPr>
                <w:rFonts w:ascii="Times New Roman" w:eastAsia="宋体" w:hAnsi="Times New Roman" w:cs="Times New Roman"/>
                <w:sz w:val="18"/>
                <w:szCs w:val="18"/>
              </w:rPr>
            </w:pPr>
          </w:p>
        </w:tc>
        <w:tc>
          <w:tcPr>
            <w:tcW w:w="253"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5000" w:type="pct"/>
            <w:gridSpan w:val="13"/>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一、合营企业</w:t>
            </w: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w:t>
            </w:r>
            <w:proofErr w:type="gramStart"/>
            <w:r>
              <w:rPr>
                <w:rFonts w:ascii="Times New Roman" w:hAnsi="Times New Roman" w:cs="Times New Roman"/>
                <w:sz w:val="18"/>
                <w:szCs w:val="18"/>
              </w:rPr>
              <w:t>鸣汇森</w:t>
            </w:r>
            <w:proofErr w:type="gramEnd"/>
            <w:r>
              <w:rPr>
                <w:rFonts w:ascii="Times New Roman" w:hAnsi="Times New Roman" w:cs="Times New Roman"/>
                <w:sz w:val="18"/>
                <w:szCs w:val="18"/>
              </w:rPr>
              <w:t>新型建材有限公司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7,400,283.59</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1,468,652.13</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500,000.00</w:t>
            </w: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8,368,935.72</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潍坊港区木片码头有限公司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79,142,080.56</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8,174,934.95</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87,317,015.51</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寿光美特环保科技有限公司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19,066,523.79</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-1,106,308.52</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17,960,215.27</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寿光市金</w:t>
            </w:r>
            <w:proofErr w:type="gramStart"/>
            <w:r>
              <w:rPr>
                <w:rFonts w:ascii="Times New Roman" w:hAnsi="Times New Roman" w:cs="Times New Roman"/>
                <w:sz w:val="18"/>
                <w:szCs w:val="18"/>
              </w:rPr>
              <w:t>投产业</w:t>
            </w:r>
            <w:proofErr w:type="gramEnd"/>
            <w:r>
              <w:rPr>
                <w:rFonts w:ascii="Times New Roman" w:hAnsi="Times New Roman" w:cs="Times New Roman"/>
                <w:sz w:val="18"/>
                <w:szCs w:val="18"/>
              </w:rPr>
              <w:t>投资合伙企业（有限合伙）</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2,344,570,247.55 </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-565,479,070.99</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1,779,091,176.56</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潍坊</w:t>
            </w:r>
            <w:proofErr w:type="gramStart"/>
            <w:r>
              <w:rPr>
                <w:rFonts w:ascii="Times New Roman" w:hAnsi="Times New Roman" w:cs="Times New Roman"/>
                <w:sz w:val="18"/>
                <w:szCs w:val="18"/>
              </w:rPr>
              <w:t>星兴联合</w:t>
            </w:r>
            <w:proofErr w:type="gramEnd"/>
            <w:r>
              <w:rPr>
                <w:rFonts w:ascii="Times New Roman" w:hAnsi="Times New Roman" w:cs="Times New Roman"/>
                <w:sz w:val="18"/>
                <w:szCs w:val="18"/>
              </w:rPr>
              <w:t>化工有限公司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91,874,385.12</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13,078,890.78</w:t>
            </w: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78,795,494.34</w:t>
            </w:r>
          </w:p>
        </w:tc>
        <w:tc>
          <w:tcPr>
            <w:tcW w:w="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13,078,890.78</w:t>
            </w:r>
          </w:p>
        </w:tc>
      </w:tr>
      <w:tr w:rsidR="00403CD6">
        <w:trPr>
          <w:trHeight w:val="284"/>
        </w:trPr>
        <w:tc>
          <w:tcPr>
            <w:tcW w:w="781"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小计</w:t>
            </w:r>
          </w:p>
        </w:tc>
        <w:tc>
          <w:tcPr>
            <w:tcW w:w="42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2,542,053,</w:t>
            </w:r>
            <w:r>
              <w:rPr>
                <w:rFonts w:ascii="Times New Roman" w:hAnsi="Times New Roman" w:cs="Times New Roman"/>
                <w:sz w:val="18"/>
                <w:szCs w:val="18"/>
              </w:rPr>
              <w:lastRenderedPageBreak/>
              <w:t xml:space="preserve">520.61 </w:t>
            </w:r>
          </w:p>
        </w:tc>
        <w:tc>
          <w:tcPr>
            <w:tcW w:w="298" w:type="pct"/>
          </w:tcPr>
          <w:p w:rsidR="00403CD6" w:rsidRDefault="00403CD6">
            <w:pPr>
              <w:jc w:val="right"/>
              <w:rPr>
                <w:rFonts w:ascii="Times New Roman" w:hAnsi="Times New Roman" w:cs="Times New Roman"/>
                <w:sz w:val="18"/>
                <w:szCs w:val="18"/>
              </w:rPr>
            </w:pPr>
          </w:p>
        </w:tc>
        <w:tc>
          <w:tcPr>
            <w:tcW w:w="310" w:type="pct"/>
            <w:vAlign w:val="center"/>
          </w:tcPr>
          <w:p w:rsidR="00403CD6" w:rsidRDefault="00403CD6">
            <w:pPr>
              <w:jc w:val="right"/>
              <w:rPr>
                <w:rFonts w:ascii="Times New Roman" w:hAnsi="Times New Roman" w:cs="Times New Roman"/>
                <w:sz w:val="18"/>
                <w:szCs w:val="18"/>
              </w:rPr>
            </w:pPr>
          </w:p>
        </w:tc>
        <w:tc>
          <w:tcPr>
            <w:tcW w:w="336" w:type="pct"/>
            <w:vAlign w:val="center"/>
          </w:tcPr>
          <w:p w:rsidR="00403CD6" w:rsidRDefault="00403CD6">
            <w:pPr>
              <w:jc w:val="right"/>
              <w:rPr>
                <w:rFonts w:ascii="Times New Roman" w:hAnsi="Times New Roman" w:cs="Times New Roman"/>
                <w:sz w:val="18"/>
                <w:szCs w:val="18"/>
              </w:rPr>
            </w:pPr>
          </w:p>
        </w:tc>
        <w:tc>
          <w:tcPr>
            <w:tcW w:w="47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lastRenderedPageBreak/>
              <w:t>556,941,792.43</w:t>
            </w:r>
          </w:p>
        </w:tc>
        <w:tc>
          <w:tcPr>
            <w:tcW w:w="336" w:type="pct"/>
            <w:vAlign w:val="center"/>
          </w:tcPr>
          <w:p w:rsidR="00403CD6" w:rsidRDefault="00403CD6">
            <w:pPr>
              <w:jc w:val="right"/>
              <w:rPr>
                <w:rFonts w:ascii="Times New Roman" w:hAnsi="Times New Roman" w:cs="Times New Roman"/>
                <w:sz w:val="18"/>
                <w:szCs w:val="18"/>
              </w:rPr>
            </w:pPr>
          </w:p>
        </w:tc>
        <w:tc>
          <w:tcPr>
            <w:tcW w:w="355" w:type="pct"/>
            <w:vAlign w:val="center"/>
          </w:tcPr>
          <w:p w:rsidR="00403CD6" w:rsidRDefault="00403CD6">
            <w:pPr>
              <w:jc w:val="right"/>
              <w:rPr>
                <w:rFonts w:ascii="Times New Roman" w:hAnsi="Times New Roman" w:cs="Times New Roman"/>
                <w:sz w:val="18"/>
                <w:szCs w:val="18"/>
              </w:rPr>
            </w:pPr>
          </w:p>
        </w:tc>
        <w:tc>
          <w:tcPr>
            <w:tcW w:w="412"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500,000.0</w:t>
            </w:r>
            <w:r>
              <w:rPr>
                <w:rFonts w:ascii="Times New Roman" w:hAnsi="Times New Roman" w:cs="Times New Roman"/>
                <w:sz w:val="18"/>
                <w:szCs w:val="18"/>
              </w:rPr>
              <w:lastRenderedPageBreak/>
              <w:t>0</w:t>
            </w:r>
          </w:p>
        </w:tc>
        <w:tc>
          <w:tcPr>
            <w:tcW w:w="323"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lastRenderedPageBreak/>
              <w:t>13,078,</w:t>
            </w:r>
            <w:r>
              <w:rPr>
                <w:rFonts w:ascii="Times New Roman" w:hAnsi="Times New Roman" w:cs="Times New Roman"/>
                <w:sz w:val="18"/>
                <w:szCs w:val="18"/>
              </w:rPr>
              <w:lastRenderedPageBreak/>
              <w:t>890.78</w:t>
            </w:r>
          </w:p>
        </w:tc>
        <w:tc>
          <w:tcPr>
            <w:tcW w:w="266" w:type="pct"/>
            <w:vAlign w:val="center"/>
          </w:tcPr>
          <w:p w:rsidR="00403CD6" w:rsidRDefault="00403CD6">
            <w:pPr>
              <w:jc w:val="right"/>
              <w:rPr>
                <w:rFonts w:ascii="Times New Roman" w:hAnsi="Times New Roman" w:cs="Times New Roman"/>
                <w:sz w:val="18"/>
                <w:szCs w:val="18"/>
              </w:rPr>
            </w:pPr>
          </w:p>
        </w:tc>
        <w:tc>
          <w:tcPr>
            <w:tcW w:w="42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1,971,532,</w:t>
            </w:r>
            <w:r>
              <w:rPr>
                <w:rFonts w:ascii="Times New Roman" w:hAnsi="Times New Roman" w:cs="Times New Roman"/>
                <w:sz w:val="18"/>
                <w:szCs w:val="18"/>
              </w:rPr>
              <w:lastRenderedPageBreak/>
              <w:t>837.40</w:t>
            </w:r>
          </w:p>
        </w:tc>
        <w:tc>
          <w:tcPr>
            <w:tcW w:w="253"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lastRenderedPageBreak/>
              <w:t>13,07</w:t>
            </w:r>
            <w:r>
              <w:rPr>
                <w:rFonts w:ascii="Times New Roman" w:hAnsi="Times New Roman" w:cs="Times New Roman"/>
                <w:sz w:val="18"/>
                <w:szCs w:val="18"/>
              </w:rPr>
              <w:lastRenderedPageBreak/>
              <w:t>8,890.78</w:t>
            </w:r>
          </w:p>
        </w:tc>
      </w:tr>
      <w:tr w:rsidR="00403CD6">
        <w:trPr>
          <w:trHeight w:val="284"/>
        </w:trPr>
        <w:tc>
          <w:tcPr>
            <w:tcW w:w="5000" w:type="pct"/>
            <w:gridSpan w:val="13"/>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lastRenderedPageBreak/>
              <w:t>二、联营企业</w:t>
            </w: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珠海</w:t>
            </w:r>
            <w:proofErr w:type="gramStart"/>
            <w:r>
              <w:rPr>
                <w:rFonts w:ascii="Times New Roman" w:hAnsi="Times New Roman" w:cs="Times New Roman"/>
                <w:sz w:val="18"/>
                <w:szCs w:val="18"/>
              </w:rPr>
              <w:t>德辰新三板</w:t>
            </w:r>
            <w:proofErr w:type="gramEnd"/>
            <w:r>
              <w:rPr>
                <w:rFonts w:ascii="Times New Roman" w:hAnsi="Times New Roman" w:cs="Times New Roman"/>
                <w:sz w:val="18"/>
                <w:szCs w:val="18"/>
              </w:rPr>
              <w:t>股权投资基金企业（有限合伙</w:t>
            </w:r>
            <w:r>
              <w:rPr>
                <w:rFonts w:ascii="Times New Roman" w:hAnsi="Times New Roman" w:cs="Times New Roman"/>
                <w:sz w:val="18"/>
                <w:szCs w:val="18"/>
              </w:rPr>
              <w:t>)</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27,263,804.36</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-96,122.05</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27,167,682.31</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宁波启辰华美股权投资基金合伙企业</w:t>
            </w:r>
            <w:r>
              <w:rPr>
                <w:rFonts w:ascii="Times New Roman" w:hAnsi="Times New Roman" w:cs="Times New Roman"/>
                <w:sz w:val="18"/>
                <w:szCs w:val="18"/>
              </w:rPr>
              <w:t>(</w:t>
            </w:r>
            <w:r>
              <w:rPr>
                <w:rFonts w:ascii="Times New Roman" w:hAnsi="Times New Roman" w:cs="Times New Roman"/>
                <w:sz w:val="18"/>
                <w:szCs w:val="18"/>
              </w:rPr>
              <w:t>有限合伙</w:t>
            </w:r>
            <w:r>
              <w:rPr>
                <w:rFonts w:ascii="Times New Roman" w:hAnsi="Times New Roman" w:cs="Times New Roman"/>
                <w:sz w:val="18"/>
                <w:szCs w:val="18"/>
              </w:rPr>
              <w:t>)</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278,128,830.13</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eastAsia="仿宋_GB2312" w:hAnsi="Times New Roman" w:cs="Times New Roman"/>
                <w:sz w:val="18"/>
                <w:szCs w:val="18"/>
              </w:rPr>
              <w:t>-142,574,010.13</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135,554,820.00</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proofErr w:type="gramStart"/>
            <w:r>
              <w:rPr>
                <w:rFonts w:ascii="Times New Roman" w:hAnsi="Times New Roman" w:cs="Times New Roman"/>
                <w:sz w:val="18"/>
                <w:szCs w:val="18"/>
              </w:rPr>
              <w:t>南昌天晨</w:t>
            </w:r>
            <w:proofErr w:type="gramEnd"/>
            <w:r>
              <w:rPr>
                <w:rFonts w:ascii="Times New Roman" w:hAnsi="Times New Roman" w:cs="Times New Roman"/>
                <w:sz w:val="18"/>
                <w:szCs w:val="18"/>
              </w:rPr>
              <w:t>港务有限公司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58,147,506.39</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2,595,113.17</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3,747,087.61</w:t>
            </w: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56,995,531.95</w:t>
            </w:r>
          </w:p>
        </w:tc>
        <w:tc>
          <w:tcPr>
            <w:tcW w:w="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金信期货有限公司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187,786,626.28</w:t>
            </w:r>
          </w:p>
        </w:tc>
        <w:tc>
          <w:tcPr>
            <w:tcW w:w="298" w:type="pct"/>
            <w:shd w:val="clear" w:color="auto" w:fill="auto"/>
            <w:vAlign w:val="center"/>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10,674,121.86</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4,010,000.00</w:t>
            </w: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194,450,748.14</w:t>
            </w:r>
          </w:p>
        </w:tc>
        <w:tc>
          <w:tcPr>
            <w:tcW w:w="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4,010,000.00</w:t>
            </w: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许昌晨鸣纸业股份有限公司</w:t>
            </w:r>
          </w:p>
        </w:tc>
        <w:tc>
          <w:tcPr>
            <w:tcW w:w="424" w:type="pct"/>
            <w:shd w:val="clear" w:color="auto" w:fill="auto"/>
            <w:vAlign w:val="center"/>
          </w:tcPr>
          <w:p w:rsidR="00403CD6" w:rsidRDefault="00403CD6">
            <w:pPr>
              <w:jc w:val="right"/>
              <w:rPr>
                <w:rFonts w:ascii="Times New Roman" w:hAnsi="Times New Roman" w:cs="Times New Roman"/>
                <w:sz w:val="18"/>
                <w:szCs w:val="18"/>
              </w:rPr>
            </w:pPr>
          </w:p>
        </w:tc>
        <w:tc>
          <w:tcPr>
            <w:tcW w:w="29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403CD6">
            <w:pPr>
              <w:jc w:val="right"/>
              <w:rPr>
                <w:rFonts w:ascii="Times New Roman" w:hAnsi="Times New Roman" w:cs="Times New Roman"/>
                <w:sz w:val="18"/>
                <w:szCs w:val="18"/>
              </w:rPr>
            </w:pPr>
          </w:p>
        </w:tc>
        <w:tc>
          <w:tcPr>
            <w:tcW w:w="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晨鸣（青岛）资产管理有限公司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8,377,144.65</w:t>
            </w:r>
          </w:p>
        </w:tc>
        <w:tc>
          <w:tcPr>
            <w:tcW w:w="298" w:type="pct"/>
            <w:shd w:val="clear" w:color="auto" w:fill="auto"/>
            <w:vAlign w:val="center"/>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7,822,100.00</w:t>
            </w: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271,748.56</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826,793.21</w:t>
            </w:r>
          </w:p>
        </w:tc>
        <w:tc>
          <w:tcPr>
            <w:tcW w:w="253" w:type="pct"/>
            <w:shd w:val="clear" w:color="auto" w:fill="auto"/>
            <w:vAlign w:val="center"/>
          </w:tcPr>
          <w:p w:rsidR="00403CD6" w:rsidRDefault="00403CD6">
            <w:pPr>
              <w:jc w:val="right"/>
              <w:rPr>
                <w:rFonts w:ascii="Times New Roman" w:hAnsi="Times New Roman" w:cs="Times New Roman"/>
                <w:sz w:val="18"/>
                <w:szCs w:val="18"/>
                <w:highlight w:val="yellow"/>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武汉晨鸣汉阳纸业股份有限公司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251,918,902.31</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-22,064,313.95</w:t>
            </w: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229,854,588.36</w:t>
            </w:r>
          </w:p>
        </w:tc>
        <w:tc>
          <w:tcPr>
            <w:tcW w:w="253" w:type="pct"/>
            <w:shd w:val="clear" w:color="auto" w:fill="auto"/>
            <w:vAlign w:val="center"/>
          </w:tcPr>
          <w:p w:rsidR="00403CD6" w:rsidRDefault="00403CD6">
            <w:pPr>
              <w:jc w:val="right"/>
              <w:rPr>
                <w:rFonts w:ascii="Times New Roman" w:hAnsi="Times New Roman" w:cs="Times New Roman"/>
                <w:sz w:val="18"/>
                <w:szCs w:val="18"/>
                <w:highlight w:val="yellow"/>
              </w:rPr>
            </w:pPr>
          </w:p>
        </w:tc>
      </w:tr>
      <w:tr w:rsidR="00403CD6">
        <w:trPr>
          <w:trHeight w:val="284"/>
        </w:trPr>
        <w:tc>
          <w:tcPr>
            <w:tcW w:w="78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广东南粤银行股份有限公司</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1,331,523,051.00</w:t>
            </w:r>
          </w:p>
        </w:tc>
        <w:tc>
          <w:tcPr>
            <w:tcW w:w="298" w:type="pct"/>
            <w:shd w:val="clear" w:color="auto" w:fill="auto"/>
          </w:tcPr>
          <w:p w:rsidR="00403CD6" w:rsidRDefault="00403CD6">
            <w:pPr>
              <w:jc w:val="right"/>
              <w:rPr>
                <w:rFonts w:ascii="Times New Roman" w:hAnsi="Times New Roman" w:cs="Times New Roman"/>
                <w:sz w:val="18"/>
                <w:szCs w:val="18"/>
              </w:rPr>
            </w:pP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403CD6">
            <w:pPr>
              <w:jc w:val="right"/>
              <w:rPr>
                <w:rFonts w:ascii="Times New Roman" w:hAnsi="Times New Roman" w:cs="Times New Roman"/>
                <w:sz w:val="18"/>
                <w:szCs w:val="18"/>
              </w:rPr>
            </w:pPr>
          </w:p>
        </w:tc>
        <w:tc>
          <w:tcPr>
            <w:tcW w:w="47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18,748,118.69</w:t>
            </w: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6,370,472.83</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-1,989,232.35</w:t>
            </w:r>
          </w:p>
        </w:tc>
        <w:tc>
          <w:tcPr>
            <w:tcW w:w="412" w:type="pct"/>
            <w:shd w:val="clear" w:color="auto" w:fill="auto"/>
            <w:vAlign w:val="center"/>
          </w:tcPr>
          <w:p w:rsidR="00403CD6" w:rsidRDefault="00403CD6">
            <w:pPr>
              <w:jc w:val="right"/>
              <w:rPr>
                <w:rFonts w:ascii="Times New Roman" w:hAnsi="Times New Roman" w:cs="Times New Roman"/>
                <w:sz w:val="18"/>
                <w:szCs w:val="18"/>
              </w:rPr>
            </w:pPr>
          </w:p>
        </w:tc>
        <w:tc>
          <w:tcPr>
            <w:tcW w:w="323" w:type="pct"/>
            <w:shd w:val="clear" w:color="auto" w:fill="auto"/>
            <w:vAlign w:val="center"/>
          </w:tcPr>
          <w:p w:rsidR="00403CD6" w:rsidRDefault="00403CD6">
            <w:pPr>
              <w:jc w:val="right"/>
              <w:rPr>
                <w:rFonts w:ascii="Times New Roman" w:hAnsi="Times New Roman" w:cs="Times New Roman"/>
                <w:sz w:val="18"/>
                <w:szCs w:val="18"/>
              </w:rPr>
            </w:pP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1,354,652,410.17</w:t>
            </w:r>
          </w:p>
        </w:tc>
        <w:tc>
          <w:tcPr>
            <w:tcW w:w="253" w:type="pct"/>
            <w:shd w:val="clear" w:color="auto" w:fill="auto"/>
            <w:vAlign w:val="center"/>
          </w:tcPr>
          <w:p w:rsidR="00403CD6" w:rsidRDefault="00403CD6">
            <w:pPr>
              <w:jc w:val="right"/>
              <w:rPr>
                <w:rFonts w:ascii="Times New Roman" w:hAnsi="Times New Roman" w:cs="Times New Roman"/>
                <w:sz w:val="18"/>
                <w:szCs w:val="18"/>
                <w:highlight w:val="yellow"/>
              </w:rPr>
            </w:pPr>
          </w:p>
        </w:tc>
      </w:tr>
      <w:tr w:rsidR="00403CD6">
        <w:trPr>
          <w:trHeight w:val="284"/>
        </w:trPr>
        <w:tc>
          <w:tcPr>
            <w:tcW w:w="781"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小计</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2,143,145,865.12 </w:t>
            </w:r>
          </w:p>
        </w:tc>
        <w:tc>
          <w:tcPr>
            <w:tcW w:w="29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7,822,100.00</w:t>
            </w:r>
          </w:p>
        </w:tc>
        <w:tc>
          <w:tcPr>
            <w:tcW w:w="475"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-132,445,343.85</w:t>
            </w: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6,370,472.83</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-1,989,232.35</w:t>
            </w:r>
          </w:p>
        </w:tc>
        <w:tc>
          <w:tcPr>
            <w:tcW w:w="41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3,747,087.61</w:t>
            </w: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4,010,000.00</w:t>
            </w: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 xml:space="preserve">1,999,502,574.14 </w:t>
            </w:r>
          </w:p>
        </w:tc>
        <w:tc>
          <w:tcPr>
            <w:tcW w:w="253" w:type="pct"/>
            <w:shd w:val="clear" w:color="auto" w:fill="auto"/>
            <w:vAlign w:val="center"/>
          </w:tcPr>
          <w:p w:rsidR="00403CD6" w:rsidRDefault="00E91A59">
            <w:pPr>
              <w:jc w:val="right"/>
              <w:rPr>
                <w:rFonts w:ascii="Times New Roman" w:hAnsi="Times New Roman" w:cs="Times New Roman"/>
                <w:sz w:val="18"/>
                <w:szCs w:val="18"/>
                <w:highlight w:val="yellow"/>
              </w:rPr>
            </w:pPr>
            <w:r>
              <w:rPr>
                <w:rFonts w:ascii="Times New Roman" w:hAnsi="Times New Roman" w:cs="Times New Roman"/>
                <w:sz w:val="18"/>
                <w:szCs w:val="18"/>
              </w:rPr>
              <w:t>10,004,545.96</w:t>
            </w:r>
          </w:p>
        </w:tc>
      </w:tr>
      <w:tr w:rsidR="00403CD6">
        <w:trPr>
          <w:trHeight w:val="284"/>
        </w:trPr>
        <w:tc>
          <w:tcPr>
            <w:tcW w:w="781"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4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4,685,199,385.73 </w:t>
            </w:r>
          </w:p>
        </w:tc>
        <w:tc>
          <w:tcPr>
            <w:tcW w:w="29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310" w:type="pct"/>
            <w:shd w:val="clear" w:color="auto" w:fill="auto"/>
            <w:vAlign w:val="center"/>
          </w:tcPr>
          <w:p w:rsidR="00403CD6" w:rsidRDefault="00403CD6">
            <w:pPr>
              <w:jc w:val="right"/>
              <w:rPr>
                <w:rFonts w:ascii="Times New Roman" w:hAnsi="Times New Roman" w:cs="Times New Roman"/>
                <w:sz w:val="18"/>
                <w:szCs w:val="18"/>
              </w:rPr>
            </w:pP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7,822,100.00</w:t>
            </w:r>
          </w:p>
        </w:tc>
        <w:tc>
          <w:tcPr>
            <w:tcW w:w="475"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hAnsi="Times New Roman" w:cs="Times New Roman"/>
                <w:sz w:val="18"/>
                <w:szCs w:val="18"/>
              </w:rPr>
              <w:t>-689,387,136.28</w:t>
            </w:r>
          </w:p>
        </w:tc>
        <w:tc>
          <w:tcPr>
            <w:tcW w:w="33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6,370,472.83</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-1,989,232.35</w:t>
            </w:r>
          </w:p>
        </w:tc>
        <w:tc>
          <w:tcPr>
            <w:tcW w:w="41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4,247,087.61</w:t>
            </w: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17,088,890.78</w:t>
            </w:r>
          </w:p>
        </w:tc>
        <w:tc>
          <w:tcPr>
            <w:tcW w:w="266" w:type="pct"/>
            <w:shd w:val="clear" w:color="auto" w:fill="auto"/>
            <w:vAlign w:val="center"/>
          </w:tcPr>
          <w:p w:rsidR="00403CD6" w:rsidRDefault="00403CD6">
            <w:pPr>
              <w:jc w:val="right"/>
              <w:rPr>
                <w:rFonts w:ascii="Times New Roman" w:hAnsi="Times New Roman" w:cs="Times New Roman"/>
                <w:sz w:val="18"/>
                <w:szCs w:val="18"/>
              </w:rPr>
            </w:pPr>
          </w:p>
        </w:tc>
        <w:tc>
          <w:tcPr>
            <w:tcW w:w="424"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hAnsi="Times New Roman" w:cs="Times New Roman"/>
                <w:sz w:val="18"/>
                <w:szCs w:val="18"/>
              </w:rPr>
              <w:t xml:space="preserve">3,971,035,411.54 </w:t>
            </w:r>
          </w:p>
        </w:tc>
        <w:tc>
          <w:tcPr>
            <w:tcW w:w="253" w:type="pct"/>
            <w:shd w:val="clear" w:color="auto" w:fill="auto"/>
            <w:vAlign w:val="center"/>
          </w:tcPr>
          <w:p w:rsidR="00403CD6" w:rsidRDefault="00E91A59">
            <w:pPr>
              <w:jc w:val="right"/>
              <w:rPr>
                <w:rFonts w:ascii="Times New Roman" w:hAnsi="Times New Roman" w:cs="Times New Roman"/>
                <w:sz w:val="18"/>
                <w:szCs w:val="18"/>
                <w:highlight w:val="yellow"/>
              </w:rPr>
            </w:pPr>
            <w:r>
              <w:rPr>
                <w:rFonts w:ascii="Times New Roman" w:hAnsi="Times New Roman" w:cs="Times New Roman"/>
                <w:sz w:val="18"/>
                <w:szCs w:val="18"/>
              </w:rPr>
              <w:t>23,083,436.74</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①本公司通过对被投资单位进行盈利预测或者聘请评估机构进行评估，估计被投资单位在资产负债表日的公允价值，处置费用主要考虑股权转让的企业所得税，来估计相关投资的可回收金额。无风险利率选取了10年国债利率，市场平均收益率按照近14年上证综合指数和深证综合指数计算确定；②本公司对金信期货有限公司和广东南粤银行股份有限公司的股权投资，由于债务逾期等原因被冻结。</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bookmarkStart w:id="63" w:name="OLE_LINK2"/>
      <w:bookmarkStart w:id="64" w:name="OLE_LINK7"/>
      <w:r>
        <w:rPr>
          <w:rFonts w:asciiTheme="minorEastAsia" w:hAnsiTheme="minorEastAsia" w:cs="Times New Roman"/>
          <w:sz w:val="18"/>
          <w:szCs w:val="18"/>
        </w:rPr>
        <w:sym w:font="Wingdings 2" w:char="F052"/>
      </w:r>
      <w:bookmarkEnd w:id="63"/>
      <w:bookmarkEnd w:id="64"/>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275"/>
        <w:gridCol w:w="1320"/>
        <w:gridCol w:w="1396"/>
        <w:gridCol w:w="1254"/>
        <w:gridCol w:w="1535"/>
        <w:gridCol w:w="696"/>
        <w:gridCol w:w="1217"/>
      </w:tblGrid>
      <w:tr w:rsidR="00403CD6">
        <w:trPr>
          <w:trHeight w:val="284"/>
        </w:trPr>
        <w:tc>
          <w:tcPr>
            <w:tcW w:w="117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68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可收回金额</w:t>
            </w:r>
          </w:p>
        </w:tc>
        <w:tc>
          <w:tcPr>
            <w:tcW w:w="64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减值金额</w:t>
            </w:r>
          </w:p>
        </w:tc>
        <w:tc>
          <w:tcPr>
            <w:tcW w:w="7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公允价值和处置费用的确定方式</w:t>
            </w:r>
          </w:p>
        </w:tc>
        <w:tc>
          <w:tcPr>
            <w:tcW w:w="35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w:t>
            </w:r>
          </w:p>
        </w:tc>
        <w:tc>
          <w:tcPr>
            <w:tcW w:w="62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关键参数的确定依据</w:t>
            </w:r>
          </w:p>
        </w:tc>
      </w:tr>
      <w:tr w:rsidR="00403CD6">
        <w:trPr>
          <w:trHeight w:val="284"/>
        </w:trPr>
        <w:tc>
          <w:tcPr>
            <w:tcW w:w="11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潍坊</w:t>
            </w:r>
            <w:proofErr w:type="gramStart"/>
            <w:r>
              <w:rPr>
                <w:rFonts w:ascii="Times New Roman" w:eastAsia="宋体" w:hAnsi="Times New Roman" w:cs="Times New Roman" w:hint="eastAsia"/>
                <w:sz w:val="18"/>
                <w:szCs w:val="18"/>
              </w:rPr>
              <w:t>星兴联合</w:t>
            </w:r>
            <w:proofErr w:type="gramEnd"/>
            <w:r>
              <w:rPr>
                <w:rFonts w:ascii="Times New Roman" w:eastAsia="宋体" w:hAnsi="Times New Roman" w:cs="Times New Roman" w:hint="eastAsia"/>
                <w:sz w:val="18"/>
                <w:szCs w:val="18"/>
              </w:rPr>
              <w:t>化工有限公司</w:t>
            </w:r>
          </w:p>
        </w:tc>
        <w:tc>
          <w:tcPr>
            <w:tcW w:w="68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91,874,385.12</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78,795,494.34</w:t>
            </w:r>
          </w:p>
        </w:tc>
        <w:tc>
          <w:tcPr>
            <w:tcW w:w="64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13,078,890.78</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合同或协议</w:t>
            </w:r>
          </w:p>
        </w:tc>
        <w:tc>
          <w:tcPr>
            <w:tcW w:w="359" w:type="pct"/>
            <w:vAlign w:val="center"/>
          </w:tcPr>
          <w:p w:rsidR="00403CD6" w:rsidRDefault="00403CD6">
            <w:pPr>
              <w:spacing w:line="240" w:lineRule="exact"/>
              <w:rPr>
                <w:rFonts w:ascii="Times New Roman" w:eastAsia="宋体" w:hAnsi="Times New Roman" w:cs="Times New Roman"/>
                <w:sz w:val="18"/>
                <w:szCs w:val="18"/>
              </w:rPr>
            </w:pPr>
          </w:p>
        </w:tc>
        <w:tc>
          <w:tcPr>
            <w:tcW w:w="628"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1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金信期货有限公司</w:t>
            </w:r>
          </w:p>
        </w:tc>
        <w:tc>
          <w:tcPr>
            <w:tcW w:w="68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198,460,748.14</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194,450,748.14</w:t>
            </w:r>
          </w:p>
        </w:tc>
        <w:tc>
          <w:tcPr>
            <w:tcW w:w="64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4,010,000.00</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合同或协议</w:t>
            </w:r>
          </w:p>
        </w:tc>
        <w:tc>
          <w:tcPr>
            <w:tcW w:w="359" w:type="pct"/>
            <w:vAlign w:val="center"/>
          </w:tcPr>
          <w:p w:rsidR="00403CD6" w:rsidRDefault="00403CD6">
            <w:pPr>
              <w:spacing w:line="240" w:lineRule="exact"/>
              <w:rPr>
                <w:rFonts w:ascii="Times New Roman" w:eastAsia="宋体" w:hAnsi="Times New Roman" w:cs="Times New Roman"/>
                <w:sz w:val="18"/>
                <w:szCs w:val="18"/>
              </w:rPr>
            </w:pPr>
          </w:p>
        </w:tc>
        <w:tc>
          <w:tcPr>
            <w:tcW w:w="628"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17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68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290,335,133.26</w:t>
            </w:r>
          </w:p>
        </w:tc>
        <w:tc>
          <w:tcPr>
            <w:tcW w:w="72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273,246,242.48</w:t>
            </w:r>
          </w:p>
        </w:tc>
        <w:tc>
          <w:tcPr>
            <w:tcW w:w="64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17,088,890.78</w:t>
            </w:r>
          </w:p>
        </w:tc>
        <w:tc>
          <w:tcPr>
            <w:tcW w:w="792" w:type="pct"/>
            <w:shd w:val="clear" w:color="auto" w:fill="D3D3D3"/>
            <w:vAlign w:val="center"/>
          </w:tcPr>
          <w:p w:rsidR="00403CD6" w:rsidRDefault="00403CD6">
            <w:pPr>
              <w:rPr>
                <w:rFonts w:ascii="Times New Roman" w:hAnsi="Times New Roman" w:cs="Times New Roman"/>
              </w:rPr>
            </w:pPr>
          </w:p>
        </w:tc>
        <w:tc>
          <w:tcPr>
            <w:tcW w:w="359" w:type="pct"/>
            <w:shd w:val="clear" w:color="auto" w:fill="D3D3D3"/>
            <w:vAlign w:val="center"/>
          </w:tcPr>
          <w:p w:rsidR="00403CD6" w:rsidRDefault="00403CD6">
            <w:pPr>
              <w:rPr>
                <w:rFonts w:ascii="Times New Roman" w:hAnsi="Times New Roman" w:cs="Times New Roman"/>
              </w:rPr>
            </w:pPr>
          </w:p>
        </w:tc>
        <w:tc>
          <w:tcPr>
            <w:tcW w:w="628"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bookmarkStart w:id="65" w:name="_Toc989266"/>
      <w:r>
        <w:rPr>
          <w:rFonts w:ascii="宋体" w:eastAsia="宋体" w:hAnsi="宋体" w:cs="宋体" w:hint="eastAsia"/>
          <w:b/>
          <w:bCs/>
          <w:szCs w:val="21"/>
        </w:rPr>
        <w:t>13、其他非流动金融资产</w:t>
      </w:r>
    </w:p>
    <w:bookmarkEnd w:id="65"/>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3285"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债务工具投资</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650,001,725.86</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659,099,016.38</w:t>
            </w:r>
          </w:p>
        </w:tc>
      </w:tr>
      <w:tr w:rsidR="00403CD6">
        <w:trPr>
          <w:trHeight w:val="284"/>
        </w:trPr>
        <w:tc>
          <w:tcPr>
            <w:tcW w:w="3285"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权益工具投资</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101,028,728.82</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122,462,024.19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751,030,454.68 </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781,561,040.57 </w:t>
            </w:r>
          </w:p>
        </w:tc>
      </w:tr>
    </w:tbl>
    <w:p w:rsidR="00403CD6" w:rsidRDefault="00E91A59">
      <w:pPr>
        <w:keepNext/>
        <w:keepLines/>
        <w:spacing w:before="300" w:after="300" w:line="280" w:lineRule="exact"/>
        <w:outlineLvl w:val="2"/>
        <w:rPr>
          <w:rFonts w:ascii="宋体" w:eastAsia="宋体" w:hAnsi="宋体" w:cs="宋体"/>
          <w:b/>
          <w:bCs/>
          <w:szCs w:val="21"/>
        </w:rPr>
      </w:pPr>
      <w:bookmarkStart w:id="66" w:name="_Toc989267"/>
      <w:r>
        <w:rPr>
          <w:rFonts w:ascii="宋体" w:eastAsia="宋体" w:hAnsi="宋体" w:cs="宋体" w:hint="eastAsia"/>
          <w:b/>
          <w:bCs/>
          <w:szCs w:val="21"/>
        </w:rPr>
        <w:lastRenderedPageBreak/>
        <w:t>14、投资性房地产</w:t>
      </w:r>
      <w:bookmarkEnd w:id="66"/>
    </w:p>
    <w:p w:rsidR="00403CD6" w:rsidRDefault="00E91A59">
      <w:pPr>
        <w:keepNext/>
        <w:keepLines/>
        <w:spacing w:before="300" w:after="300" w:line="280" w:lineRule="exact"/>
        <w:outlineLvl w:val="3"/>
        <w:rPr>
          <w:rFonts w:ascii="宋体" w:eastAsia="宋体" w:hAnsi="宋体" w:cs="宋体"/>
          <w:b/>
          <w:bCs/>
          <w:sz w:val="18"/>
          <w:szCs w:val="18"/>
        </w:rPr>
      </w:pPr>
      <w:r>
        <w:rPr>
          <w:rFonts w:ascii="宋体" w:eastAsia="宋体" w:hAnsi="宋体" w:cs="宋体" w:hint="eastAsia"/>
          <w:b/>
          <w:bCs/>
          <w:sz w:val="18"/>
          <w:szCs w:val="18"/>
        </w:rPr>
        <w:t>（1） 采用成本计量模式的投资性房地产</w:t>
      </w:r>
    </w:p>
    <w:p w:rsidR="00403CD6" w:rsidRDefault="00E91A59">
      <w:pPr>
        <w:spacing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804"/>
        <w:gridCol w:w="3001"/>
        <w:gridCol w:w="2853"/>
      </w:tblGrid>
      <w:tr w:rsidR="00403CD6">
        <w:trPr>
          <w:trHeight w:val="284"/>
        </w:trPr>
        <w:tc>
          <w:tcPr>
            <w:tcW w:w="196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55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房屋、建筑物</w:t>
            </w:r>
          </w:p>
        </w:tc>
        <w:tc>
          <w:tcPr>
            <w:tcW w:w="147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trHeight w:val="284"/>
        </w:trPr>
        <w:tc>
          <w:tcPr>
            <w:tcW w:w="19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一、账面原值</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7,142,921,213.87</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7,142,921,213.87</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8,857,835.38</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8,857,835.38</w:t>
            </w:r>
          </w:p>
        </w:tc>
      </w:tr>
      <w:tr w:rsidR="00403CD6">
        <w:trPr>
          <w:trHeight w:val="284"/>
        </w:trPr>
        <w:tc>
          <w:tcPr>
            <w:tcW w:w="1969"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8,857,835.38</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8,857,835.38</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7,134,063,378.49</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7,134,063,378.49</w:t>
            </w:r>
          </w:p>
        </w:tc>
      </w:tr>
      <w:tr w:rsidR="00403CD6">
        <w:trPr>
          <w:trHeight w:val="284"/>
        </w:trPr>
        <w:tc>
          <w:tcPr>
            <w:tcW w:w="19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二、累计折旧和累计摊销</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1,093,678,517.51</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1,093,678,517.51</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196,503,060.50</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196,503,060.50</w:t>
            </w:r>
          </w:p>
        </w:tc>
      </w:tr>
      <w:tr w:rsidR="00403CD6">
        <w:trPr>
          <w:trHeight w:val="284"/>
        </w:trPr>
        <w:tc>
          <w:tcPr>
            <w:tcW w:w="1969"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）计提或摊销</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196,503,060.50</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196,503,060.50</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1,581,458.07</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1,581,458.07</w:t>
            </w:r>
          </w:p>
        </w:tc>
      </w:tr>
      <w:tr w:rsidR="00403CD6">
        <w:trPr>
          <w:trHeight w:val="284"/>
        </w:trPr>
        <w:tc>
          <w:tcPr>
            <w:tcW w:w="1969"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1,581,458.07</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1,581,458.07</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1,288,600,119.94</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1,288,600,119.94</w:t>
            </w:r>
          </w:p>
        </w:tc>
      </w:tr>
      <w:tr w:rsidR="00403CD6">
        <w:trPr>
          <w:trHeight w:val="284"/>
        </w:trPr>
        <w:tc>
          <w:tcPr>
            <w:tcW w:w="19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三、减值准备</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102,227,990.09</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102,227,990.09</w:t>
            </w:r>
          </w:p>
        </w:tc>
      </w:tr>
      <w:tr w:rsidR="00403CD6">
        <w:trPr>
          <w:trHeight w:val="284"/>
        </w:trPr>
        <w:tc>
          <w:tcPr>
            <w:tcW w:w="1969"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102,227,990.09</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102,227,990.09</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102,227,990.09</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102,227,990.09</w:t>
            </w:r>
          </w:p>
        </w:tc>
      </w:tr>
      <w:tr w:rsidR="00403CD6">
        <w:trPr>
          <w:trHeight w:val="284"/>
        </w:trPr>
        <w:tc>
          <w:tcPr>
            <w:tcW w:w="19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四、账面价值</w:t>
            </w:r>
          </w:p>
        </w:tc>
        <w:tc>
          <w:tcPr>
            <w:tcW w:w="1553" w:type="pct"/>
            <w:vAlign w:val="center"/>
          </w:tcPr>
          <w:p w:rsidR="00403CD6" w:rsidRDefault="00403CD6">
            <w:pPr>
              <w:spacing w:line="240" w:lineRule="exact"/>
              <w:jc w:val="right"/>
              <w:rPr>
                <w:rFonts w:ascii="Times New Roman" w:eastAsia="宋体" w:hAnsi="Times New Roman" w:cs="Times New Roman"/>
                <w:sz w:val="18"/>
                <w:szCs w:val="18"/>
              </w:rPr>
            </w:pPr>
          </w:p>
        </w:tc>
        <w:tc>
          <w:tcPr>
            <w:tcW w:w="1477"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期末账面价值</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5,743,235,268.46</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5,743,235,268.46</w:t>
            </w:r>
          </w:p>
        </w:tc>
      </w:tr>
      <w:tr w:rsidR="00403CD6">
        <w:trPr>
          <w:trHeight w:val="284"/>
        </w:trPr>
        <w:tc>
          <w:tcPr>
            <w:tcW w:w="19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期初账面价值</w:t>
            </w:r>
          </w:p>
        </w:tc>
        <w:tc>
          <w:tcPr>
            <w:tcW w:w="305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6,049,242,696.36</w:t>
            </w:r>
          </w:p>
        </w:tc>
        <w:tc>
          <w:tcPr>
            <w:tcW w:w="290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6,049,242,696.36</w:t>
            </w:r>
          </w:p>
        </w:tc>
      </w:tr>
    </w:tbl>
    <w:p w:rsidR="00403CD6" w:rsidRDefault="00E91A59">
      <w:pPr>
        <w:snapToGrid w:val="0"/>
        <w:rPr>
          <w:rFonts w:ascii="Times New Roman" w:hAnsi="Times New Roman" w:cs="Times New Roman"/>
          <w:sz w:val="18"/>
          <w:szCs w:val="18"/>
        </w:rPr>
      </w:pPr>
      <w:r>
        <w:rPr>
          <w:rFonts w:ascii="Times New Roman" w:hAnsi="Times New Roman" w:cs="Times New Roman"/>
          <w:sz w:val="18"/>
          <w:szCs w:val="18"/>
        </w:rPr>
        <w:t>注：公司名下投资性房地产主要是：</w:t>
      </w:r>
    </w:p>
    <w:p w:rsidR="00403CD6" w:rsidRDefault="00E91A59">
      <w:pPr>
        <w:snapToGrid w:val="0"/>
        <w:ind w:firstLineChars="200" w:firstLine="360"/>
        <w:rPr>
          <w:rFonts w:ascii="Times New Roman" w:hAnsi="Times New Roman" w:cs="Times New Roman"/>
          <w:sz w:val="18"/>
          <w:szCs w:val="18"/>
        </w:rPr>
      </w:pPr>
      <w:r>
        <w:rPr>
          <w:rFonts w:ascii="宋体" w:eastAsia="宋体" w:hAnsi="宋体" w:cs="宋体" w:hint="eastAsia"/>
          <w:sz w:val="18"/>
          <w:szCs w:val="18"/>
        </w:rPr>
        <w:t>①</w:t>
      </w:r>
      <w:r>
        <w:rPr>
          <w:rFonts w:ascii="Times New Roman" w:hAnsi="Times New Roman" w:cs="Times New Roman"/>
          <w:sz w:val="18"/>
          <w:szCs w:val="18"/>
        </w:rPr>
        <w:t>浦江国际金融广场，位于上海市虹口区东大名路</w:t>
      </w:r>
      <w:r>
        <w:rPr>
          <w:rFonts w:ascii="Times New Roman" w:hAnsi="Times New Roman" w:cs="Times New Roman"/>
          <w:sz w:val="18"/>
          <w:szCs w:val="18"/>
        </w:rPr>
        <w:t>1098</w:t>
      </w:r>
      <w:r>
        <w:rPr>
          <w:rFonts w:ascii="Times New Roman" w:hAnsi="Times New Roman" w:cs="Times New Roman"/>
          <w:sz w:val="18"/>
          <w:szCs w:val="18"/>
        </w:rPr>
        <w:t>号，属于公司下属子公司上海鸿泰房地产有限公司长期持有的写字楼物业，</w:t>
      </w:r>
      <w:r>
        <w:rPr>
          <w:rFonts w:ascii="Times New Roman" w:hAnsi="Times New Roman" w:cs="Times New Roman" w:hint="eastAsia"/>
          <w:sz w:val="18"/>
          <w:szCs w:val="18"/>
        </w:rPr>
        <w:t>非永久业权，</w:t>
      </w:r>
      <w:r>
        <w:rPr>
          <w:rFonts w:ascii="Times New Roman" w:hAnsi="Times New Roman" w:cs="Times New Roman"/>
          <w:sz w:val="18"/>
          <w:szCs w:val="18"/>
        </w:rPr>
        <w:t>主要用于对外出租办公；</w:t>
      </w:r>
    </w:p>
    <w:p w:rsidR="00403CD6" w:rsidRDefault="00E91A59">
      <w:pPr>
        <w:snapToGrid w:val="0"/>
        <w:ind w:firstLineChars="200" w:firstLine="360"/>
        <w:rPr>
          <w:rFonts w:ascii="Times New Roman" w:hAnsi="Times New Roman" w:cs="Times New Roman"/>
          <w:sz w:val="18"/>
          <w:szCs w:val="18"/>
        </w:rPr>
      </w:pPr>
      <w:r>
        <w:rPr>
          <w:rFonts w:ascii="宋体" w:eastAsia="宋体" w:hAnsi="宋体" w:cs="宋体" w:hint="eastAsia"/>
          <w:sz w:val="18"/>
          <w:szCs w:val="18"/>
        </w:rPr>
        <w:t>②</w:t>
      </w:r>
      <w:r>
        <w:rPr>
          <w:rFonts w:ascii="Times New Roman" w:hAnsi="Times New Roman" w:cs="Times New Roman"/>
          <w:sz w:val="18"/>
          <w:szCs w:val="18"/>
        </w:rPr>
        <w:t>济南晨鸣金融大厦，位于济南高新区经十路</w:t>
      </w:r>
      <w:r>
        <w:rPr>
          <w:rFonts w:ascii="Times New Roman" w:hAnsi="Times New Roman" w:cs="Times New Roman"/>
          <w:sz w:val="18"/>
          <w:szCs w:val="18"/>
        </w:rPr>
        <w:t>7000</w:t>
      </w:r>
      <w:r>
        <w:rPr>
          <w:rFonts w:ascii="Times New Roman" w:hAnsi="Times New Roman" w:cs="Times New Roman"/>
          <w:sz w:val="18"/>
          <w:szCs w:val="18"/>
        </w:rPr>
        <w:t>号</w:t>
      </w:r>
      <w:proofErr w:type="gramStart"/>
      <w:r>
        <w:rPr>
          <w:rFonts w:ascii="Times New Roman" w:hAnsi="Times New Roman" w:cs="Times New Roman"/>
          <w:sz w:val="18"/>
          <w:szCs w:val="18"/>
        </w:rPr>
        <w:t>汉峪金融</w:t>
      </w:r>
      <w:proofErr w:type="gramEnd"/>
      <w:r>
        <w:rPr>
          <w:rFonts w:ascii="Times New Roman" w:hAnsi="Times New Roman" w:cs="Times New Roman"/>
          <w:sz w:val="18"/>
          <w:szCs w:val="18"/>
        </w:rPr>
        <w:t>商务中心七区，属于公司下属子公司山东晨鸣投资有限公司长期持有的写字楼物业，</w:t>
      </w:r>
      <w:r>
        <w:rPr>
          <w:rFonts w:ascii="Times New Roman" w:hAnsi="Times New Roman" w:cs="Times New Roman" w:hint="eastAsia"/>
          <w:sz w:val="18"/>
          <w:szCs w:val="18"/>
        </w:rPr>
        <w:t>非永久业权，</w:t>
      </w:r>
      <w:r>
        <w:rPr>
          <w:rFonts w:ascii="Times New Roman" w:hAnsi="Times New Roman" w:cs="Times New Roman"/>
          <w:sz w:val="18"/>
          <w:szCs w:val="18"/>
        </w:rPr>
        <w:t>主要用于对外出租或办公；</w:t>
      </w:r>
    </w:p>
    <w:p w:rsidR="00403CD6" w:rsidRDefault="00E91A59">
      <w:pPr>
        <w:snapToGrid w:val="0"/>
        <w:ind w:firstLineChars="200" w:firstLine="360"/>
        <w:rPr>
          <w:rFonts w:ascii="Times New Roman" w:hAnsi="Times New Roman" w:cs="Times New Roman"/>
          <w:sz w:val="18"/>
          <w:szCs w:val="18"/>
        </w:rPr>
      </w:pPr>
      <w:r>
        <w:rPr>
          <w:rFonts w:ascii="宋体" w:eastAsia="宋体" w:hAnsi="宋体" w:cs="宋体" w:hint="eastAsia"/>
          <w:sz w:val="18"/>
          <w:szCs w:val="18"/>
        </w:rPr>
        <w:t>③</w:t>
      </w:r>
      <w:proofErr w:type="gramStart"/>
      <w:r>
        <w:rPr>
          <w:rFonts w:ascii="Times New Roman" w:hAnsi="Times New Roman" w:cs="Times New Roman" w:hint="eastAsia"/>
          <w:sz w:val="18"/>
          <w:szCs w:val="18"/>
        </w:rPr>
        <w:t>法朵公寓</w:t>
      </w:r>
      <w:proofErr w:type="gramEnd"/>
      <w:r>
        <w:rPr>
          <w:rFonts w:ascii="Times New Roman" w:hAnsi="Times New Roman" w:cs="Times New Roman" w:hint="eastAsia"/>
          <w:sz w:val="18"/>
          <w:szCs w:val="18"/>
        </w:rPr>
        <w:t>，位于上海市杨浦区安波路</w:t>
      </w:r>
      <w:r>
        <w:rPr>
          <w:rFonts w:ascii="Times New Roman" w:hAnsi="Times New Roman" w:cs="Times New Roman" w:hint="eastAsia"/>
          <w:sz w:val="18"/>
          <w:szCs w:val="18"/>
        </w:rPr>
        <w:t>467</w:t>
      </w:r>
      <w:r>
        <w:rPr>
          <w:rFonts w:ascii="Times New Roman" w:hAnsi="Times New Roman" w:cs="Times New Roman" w:hint="eastAsia"/>
          <w:sz w:val="18"/>
          <w:szCs w:val="18"/>
        </w:rPr>
        <w:t>弄</w:t>
      </w:r>
      <w:r>
        <w:rPr>
          <w:rFonts w:ascii="Times New Roman" w:hAnsi="Times New Roman" w:cs="Times New Roman" w:hint="eastAsia"/>
          <w:sz w:val="18"/>
          <w:szCs w:val="18"/>
        </w:rPr>
        <w:t>22</w:t>
      </w:r>
      <w:r>
        <w:rPr>
          <w:rFonts w:ascii="Times New Roman" w:hAnsi="Times New Roman" w:cs="Times New Roman" w:hint="eastAsia"/>
          <w:sz w:val="18"/>
          <w:szCs w:val="18"/>
        </w:rPr>
        <w:t>号、安波路</w:t>
      </w:r>
      <w:r>
        <w:rPr>
          <w:rFonts w:ascii="Times New Roman" w:hAnsi="Times New Roman" w:cs="Times New Roman" w:hint="eastAsia"/>
          <w:sz w:val="18"/>
          <w:szCs w:val="18"/>
        </w:rPr>
        <w:t>463</w:t>
      </w:r>
      <w:r>
        <w:rPr>
          <w:rFonts w:ascii="Times New Roman" w:hAnsi="Times New Roman" w:cs="Times New Roman" w:hint="eastAsia"/>
          <w:sz w:val="18"/>
          <w:szCs w:val="18"/>
        </w:rPr>
        <w:t>号，属于公司下属子公司上海和</w:t>
      </w:r>
      <w:proofErr w:type="gramStart"/>
      <w:r>
        <w:rPr>
          <w:rFonts w:ascii="Times New Roman" w:hAnsi="Times New Roman" w:cs="Times New Roman" w:hint="eastAsia"/>
          <w:sz w:val="18"/>
          <w:szCs w:val="18"/>
        </w:rPr>
        <w:t>睿</w:t>
      </w:r>
      <w:proofErr w:type="gramEnd"/>
      <w:r>
        <w:rPr>
          <w:rFonts w:ascii="Times New Roman" w:hAnsi="Times New Roman" w:cs="Times New Roman" w:hint="eastAsia"/>
          <w:sz w:val="18"/>
          <w:szCs w:val="18"/>
        </w:rPr>
        <w:t>鸣物业管理有限公司长期持有的写字楼物业，非永久业权，主要用于对外出租；</w:t>
      </w:r>
    </w:p>
    <w:p w:rsidR="00403CD6" w:rsidRDefault="00E91A59">
      <w:pPr>
        <w:snapToGrid w:val="0"/>
        <w:ind w:firstLineChars="200" w:firstLine="360"/>
        <w:rPr>
          <w:rFonts w:ascii="Times New Roman" w:hAnsi="Times New Roman" w:cs="Times New Roman"/>
          <w:sz w:val="18"/>
          <w:szCs w:val="18"/>
        </w:rPr>
      </w:pPr>
      <w:r>
        <w:rPr>
          <w:rFonts w:ascii="宋体" w:eastAsia="宋体" w:hAnsi="宋体" w:cs="宋体" w:hint="eastAsia"/>
          <w:sz w:val="18"/>
          <w:szCs w:val="18"/>
        </w:rPr>
        <w:t>④</w:t>
      </w:r>
      <w:r>
        <w:rPr>
          <w:rFonts w:ascii="Times New Roman" w:hAnsi="Times New Roman" w:cs="Times New Roman"/>
          <w:sz w:val="18"/>
          <w:szCs w:val="18"/>
        </w:rPr>
        <w:t>广州正佳广场，位于广州越秀区环市东路</w:t>
      </w:r>
      <w:r>
        <w:rPr>
          <w:rFonts w:ascii="Times New Roman" w:hAnsi="Times New Roman" w:cs="Times New Roman"/>
          <w:sz w:val="18"/>
          <w:szCs w:val="18"/>
        </w:rPr>
        <w:t>372</w:t>
      </w:r>
      <w:r>
        <w:rPr>
          <w:rFonts w:ascii="Times New Roman" w:hAnsi="Times New Roman" w:cs="Times New Roman"/>
          <w:sz w:val="18"/>
          <w:szCs w:val="18"/>
        </w:rPr>
        <w:t>号</w:t>
      </w:r>
      <w:r>
        <w:rPr>
          <w:rFonts w:ascii="Times New Roman" w:hAnsi="Times New Roman" w:cs="Times New Roman"/>
          <w:sz w:val="18"/>
          <w:szCs w:val="18"/>
        </w:rPr>
        <w:t>3901</w:t>
      </w:r>
      <w:r>
        <w:rPr>
          <w:rFonts w:ascii="Times New Roman" w:hAnsi="Times New Roman" w:cs="Times New Roman"/>
          <w:sz w:val="18"/>
          <w:szCs w:val="18"/>
        </w:rPr>
        <w:t>房</w:t>
      </w:r>
      <w:r>
        <w:rPr>
          <w:rFonts w:ascii="Times New Roman" w:hAnsi="Times New Roman" w:cs="Times New Roman"/>
          <w:sz w:val="18"/>
          <w:szCs w:val="18"/>
        </w:rPr>
        <w:t>-3926</w:t>
      </w:r>
      <w:r>
        <w:rPr>
          <w:rFonts w:ascii="Times New Roman" w:hAnsi="Times New Roman" w:cs="Times New Roman"/>
          <w:sz w:val="18"/>
          <w:szCs w:val="18"/>
        </w:rPr>
        <w:t>房，属于公司下属子公司</w:t>
      </w:r>
      <w:r>
        <w:rPr>
          <w:rFonts w:ascii="Times New Roman" w:hAnsi="Times New Roman" w:cs="Times New Roman" w:hint="eastAsia"/>
          <w:sz w:val="18"/>
          <w:szCs w:val="18"/>
        </w:rPr>
        <w:t>广州晨鸣物业管理</w:t>
      </w:r>
      <w:r>
        <w:rPr>
          <w:rFonts w:ascii="Times New Roman" w:hAnsi="Times New Roman" w:cs="Times New Roman"/>
          <w:sz w:val="18"/>
          <w:szCs w:val="18"/>
        </w:rPr>
        <w:t>有限公司长期持有的写字楼物业，</w:t>
      </w:r>
      <w:r>
        <w:rPr>
          <w:rFonts w:ascii="Times New Roman" w:hAnsi="Times New Roman" w:cs="Times New Roman" w:hint="eastAsia"/>
          <w:sz w:val="18"/>
          <w:szCs w:val="18"/>
        </w:rPr>
        <w:t>非永久业权，</w:t>
      </w:r>
      <w:r>
        <w:rPr>
          <w:rFonts w:ascii="Times New Roman" w:hAnsi="Times New Roman" w:cs="Times New Roman"/>
          <w:sz w:val="18"/>
          <w:szCs w:val="18"/>
        </w:rPr>
        <w:t>主要用于对外出租；</w:t>
      </w:r>
    </w:p>
    <w:p w:rsidR="00403CD6" w:rsidRDefault="00E91A59">
      <w:pPr>
        <w:snapToGrid w:val="0"/>
        <w:ind w:firstLineChars="200" w:firstLine="360"/>
        <w:rPr>
          <w:rFonts w:ascii="Times New Roman" w:hAnsi="Times New Roman" w:cs="Times New Roman"/>
          <w:sz w:val="18"/>
          <w:szCs w:val="18"/>
        </w:rPr>
      </w:pPr>
      <w:r>
        <w:rPr>
          <w:rFonts w:ascii="宋体" w:eastAsia="宋体" w:hAnsi="宋体" w:cs="宋体" w:hint="eastAsia"/>
          <w:sz w:val="18"/>
          <w:szCs w:val="18"/>
        </w:rPr>
        <w:t>⑤</w:t>
      </w:r>
      <w:r>
        <w:rPr>
          <w:rFonts w:ascii="Times New Roman" w:hAnsi="Times New Roman" w:cs="Times New Roman"/>
          <w:sz w:val="18"/>
          <w:szCs w:val="18"/>
        </w:rPr>
        <w:t>深圳卓越宝中时代广场，位于深圳宝安区新安街道卓越宝中时代广场二期</w:t>
      </w:r>
      <w:r>
        <w:rPr>
          <w:rFonts w:ascii="Times New Roman" w:hAnsi="Times New Roman" w:cs="Times New Roman"/>
          <w:sz w:val="18"/>
          <w:szCs w:val="18"/>
        </w:rPr>
        <w:t>C</w:t>
      </w:r>
      <w:r>
        <w:rPr>
          <w:rFonts w:ascii="Times New Roman" w:hAnsi="Times New Roman" w:cs="Times New Roman"/>
          <w:sz w:val="18"/>
          <w:szCs w:val="18"/>
        </w:rPr>
        <w:t>栋</w:t>
      </w:r>
      <w:r>
        <w:rPr>
          <w:rFonts w:ascii="Times New Roman" w:hAnsi="Times New Roman" w:cs="Times New Roman"/>
          <w:sz w:val="18"/>
          <w:szCs w:val="18"/>
        </w:rPr>
        <w:t>3201-3210</w:t>
      </w:r>
      <w:r>
        <w:rPr>
          <w:rFonts w:ascii="Times New Roman" w:hAnsi="Times New Roman" w:cs="Times New Roman"/>
          <w:sz w:val="18"/>
          <w:szCs w:val="18"/>
        </w:rPr>
        <w:t>室，属于公司下属子公司</w:t>
      </w:r>
      <w:r>
        <w:rPr>
          <w:rFonts w:ascii="Times New Roman" w:hAnsi="Times New Roman" w:cs="Times New Roman" w:hint="eastAsia"/>
          <w:sz w:val="18"/>
          <w:szCs w:val="18"/>
        </w:rPr>
        <w:t>广州晨鸣物业管理</w:t>
      </w:r>
      <w:r>
        <w:rPr>
          <w:rFonts w:ascii="Times New Roman" w:hAnsi="Times New Roman" w:cs="Times New Roman"/>
          <w:sz w:val="18"/>
          <w:szCs w:val="18"/>
        </w:rPr>
        <w:t>有限公司长期持有的办公楼物业，</w:t>
      </w:r>
      <w:r>
        <w:rPr>
          <w:rFonts w:ascii="Times New Roman" w:hAnsi="Times New Roman" w:cs="Times New Roman" w:hint="eastAsia"/>
          <w:sz w:val="18"/>
          <w:szCs w:val="18"/>
        </w:rPr>
        <w:t>非永久业权，</w:t>
      </w:r>
      <w:r>
        <w:rPr>
          <w:rFonts w:ascii="Times New Roman" w:hAnsi="Times New Roman" w:cs="Times New Roman"/>
          <w:sz w:val="18"/>
          <w:szCs w:val="18"/>
        </w:rPr>
        <w:t>主要用于对外出租。</w:t>
      </w:r>
    </w:p>
    <w:p w:rsidR="00403CD6" w:rsidRDefault="00E91A59">
      <w:pPr>
        <w:snapToGrid w:val="0"/>
        <w:ind w:firstLineChars="200" w:firstLine="360"/>
        <w:rPr>
          <w:rFonts w:ascii="宋体" w:eastAsia="宋体" w:hAnsi="宋体" w:cs="宋体"/>
          <w:sz w:val="18"/>
          <w:szCs w:val="18"/>
        </w:rPr>
      </w:pPr>
      <w:r>
        <w:rPr>
          <w:rFonts w:ascii="Times New Roman" w:hAnsi="Times New Roman" w:cs="Times New Roman" w:hint="eastAsia"/>
          <w:sz w:val="18"/>
          <w:szCs w:val="18"/>
        </w:rPr>
        <w:t>⑥</w:t>
      </w:r>
      <w:r>
        <w:rPr>
          <w:rFonts w:ascii="Times New Roman" w:hAnsi="Times New Roman" w:cs="Times New Roman" w:hint="eastAsia"/>
          <w:sz w:val="18"/>
          <w:szCs w:val="18"/>
        </w:rPr>
        <w:t xml:space="preserve"> </w:t>
      </w:r>
      <w:r>
        <w:rPr>
          <w:rFonts w:ascii="Times New Roman" w:hAnsi="Times New Roman" w:cs="Times New Roman" w:hint="eastAsia"/>
          <w:sz w:val="18"/>
          <w:szCs w:val="18"/>
        </w:rPr>
        <w:t>上海西藏南路商铺，位于上海市西藏南路</w:t>
      </w:r>
      <w:r>
        <w:rPr>
          <w:rFonts w:ascii="Times New Roman" w:hAnsi="Times New Roman" w:cs="Times New Roman" w:hint="eastAsia"/>
          <w:sz w:val="18"/>
          <w:szCs w:val="18"/>
        </w:rPr>
        <w:t>518-528</w:t>
      </w:r>
      <w:r>
        <w:rPr>
          <w:rFonts w:ascii="Times New Roman" w:hAnsi="Times New Roman" w:cs="Times New Roman" w:hint="eastAsia"/>
          <w:sz w:val="18"/>
          <w:szCs w:val="18"/>
        </w:rPr>
        <w:t>号，为下属子公司</w:t>
      </w:r>
      <w:r>
        <w:rPr>
          <w:rFonts w:ascii="Times New Roman" w:hAnsi="Times New Roman" w:cs="Times New Roman"/>
          <w:sz w:val="18"/>
          <w:szCs w:val="18"/>
        </w:rPr>
        <w:t>武汉骏恒物业管理有限公司</w:t>
      </w:r>
      <w:r>
        <w:rPr>
          <w:rFonts w:ascii="Times New Roman" w:hAnsi="Times New Roman" w:cs="Times New Roman" w:hint="eastAsia"/>
          <w:sz w:val="18"/>
          <w:szCs w:val="18"/>
        </w:rPr>
        <w:t>长期持有的商铺，非永久业权，主要用于对外出租。</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2"/>
        <w:gridCol w:w="850"/>
        <w:gridCol w:w="850"/>
        <w:gridCol w:w="1277"/>
        <w:gridCol w:w="3117"/>
        <w:gridCol w:w="1381"/>
      </w:tblGrid>
      <w:tr w:rsidR="00403CD6">
        <w:trPr>
          <w:trHeight w:val="284"/>
        </w:trPr>
        <w:tc>
          <w:tcPr>
            <w:tcW w:w="77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43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w:t>
            </w:r>
            <w:r>
              <w:rPr>
                <w:rFonts w:ascii="Times New Roman" w:eastAsia="宋体" w:hAnsi="Times New Roman" w:cs="Times New Roman"/>
                <w:sz w:val="18"/>
                <w:szCs w:val="18"/>
              </w:rPr>
              <w:lastRenderedPageBreak/>
              <w:t>值</w:t>
            </w:r>
          </w:p>
        </w:tc>
        <w:tc>
          <w:tcPr>
            <w:tcW w:w="4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可收回</w:t>
            </w:r>
            <w:r>
              <w:rPr>
                <w:rFonts w:ascii="Times New Roman" w:eastAsia="宋体" w:hAnsi="Times New Roman" w:cs="Times New Roman"/>
                <w:sz w:val="18"/>
                <w:szCs w:val="18"/>
              </w:rPr>
              <w:lastRenderedPageBreak/>
              <w:t>金额</w:t>
            </w:r>
          </w:p>
        </w:tc>
        <w:tc>
          <w:tcPr>
            <w:tcW w:w="4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减值金</w:t>
            </w:r>
            <w:r>
              <w:rPr>
                <w:rFonts w:ascii="Times New Roman" w:eastAsia="宋体" w:hAnsi="Times New Roman" w:cs="Times New Roman"/>
                <w:sz w:val="18"/>
                <w:szCs w:val="18"/>
              </w:rPr>
              <w:lastRenderedPageBreak/>
              <w:t>额</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公允价值和处置费用的</w:t>
            </w:r>
            <w:r>
              <w:rPr>
                <w:rFonts w:ascii="Times New Roman" w:eastAsia="宋体" w:hAnsi="Times New Roman" w:cs="Times New Roman"/>
                <w:sz w:val="18"/>
                <w:szCs w:val="18"/>
              </w:rPr>
              <w:lastRenderedPageBreak/>
              <w:t>确定方式</w:t>
            </w:r>
          </w:p>
        </w:tc>
        <w:tc>
          <w:tcPr>
            <w:tcW w:w="158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关键参数</w:t>
            </w:r>
          </w:p>
        </w:tc>
        <w:tc>
          <w:tcPr>
            <w:tcW w:w="70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关键参数的确</w:t>
            </w:r>
            <w:r>
              <w:rPr>
                <w:rFonts w:ascii="Times New Roman" w:eastAsia="宋体" w:hAnsi="Times New Roman" w:cs="Times New Roman"/>
                <w:sz w:val="18"/>
                <w:szCs w:val="18"/>
              </w:rPr>
              <w:lastRenderedPageBreak/>
              <w:t>定依据</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lastRenderedPageBreak/>
              <w:t>浦江国际金融广场</w:t>
            </w:r>
          </w:p>
        </w:tc>
        <w:tc>
          <w:tcPr>
            <w:tcW w:w="43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3,929,078,563.30</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3,870,804,012.06</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58,274,551.24</w:t>
            </w:r>
          </w:p>
        </w:tc>
        <w:tc>
          <w:tcPr>
            <w:tcW w:w="648"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评估</w:t>
            </w:r>
          </w:p>
        </w:tc>
        <w:tc>
          <w:tcPr>
            <w:tcW w:w="158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公允价值</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处置费用。销售费用按公允价值的</w:t>
            </w:r>
            <w:r>
              <w:rPr>
                <w:rFonts w:ascii="Times New Roman" w:eastAsia="宋体" w:hAnsi="Times New Roman" w:cs="Times New Roman" w:hint="eastAsia"/>
                <w:sz w:val="18"/>
                <w:szCs w:val="18"/>
              </w:rPr>
              <w:t>1%</w:t>
            </w:r>
            <w:r>
              <w:rPr>
                <w:rFonts w:ascii="Times New Roman" w:eastAsia="宋体" w:hAnsi="Times New Roman" w:cs="Times New Roman" w:hint="eastAsia"/>
                <w:sz w:val="18"/>
                <w:szCs w:val="18"/>
              </w:rPr>
              <w:t>，税金及附加为</w:t>
            </w:r>
            <w:r>
              <w:rPr>
                <w:rFonts w:ascii="Times New Roman" w:eastAsia="宋体" w:hAnsi="Times New Roman" w:cs="Times New Roman" w:hint="eastAsia"/>
                <w:sz w:val="18"/>
                <w:szCs w:val="18"/>
              </w:rPr>
              <w:t>1.11%</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根据市场调查进行确定。</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深圳卓越宝中时代广场</w:t>
            </w:r>
          </w:p>
        </w:tc>
        <w:tc>
          <w:tcPr>
            <w:tcW w:w="43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155,511,029.33</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130,660,000.00</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24,851,029.33</w:t>
            </w:r>
          </w:p>
        </w:tc>
        <w:tc>
          <w:tcPr>
            <w:tcW w:w="648"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评估</w:t>
            </w:r>
          </w:p>
        </w:tc>
        <w:tc>
          <w:tcPr>
            <w:tcW w:w="158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公允价值</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处置费用。销售费用按公允价值的</w:t>
            </w:r>
            <w:r>
              <w:rPr>
                <w:rFonts w:ascii="Times New Roman" w:eastAsia="宋体" w:hAnsi="Times New Roman" w:cs="Times New Roman" w:hint="eastAsia"/>
                <w:sz w:val="18"/>
                <w:szCs w:val="18"/>
              </w:rPr>
              <w:t>1%</w:t>
            </w:r>
            <w:r>
              <w:rPr>
                <w:rFonts w:ascii="Times New Roman" w:eastAsia="宋体" w:hAnsi="Times New Roman" w:cs="Times New Roman" w:hint="eastAsia"/>
                <w:sz w:val="18"/>
                <w:szCs w:val="18"/>
              </w:rPr>
              <w:t>，税金及附加为</w:t>
            </w:r>
            <w:r>
              <w:rPr>
                <w:rFonts w:ascii="Times New Roman" w:eastAsia="宋体" w:hAnsi="Times New Roman" w:cs="Times New Roman" w:hint="eastAsia"/>
                <w:sz w:val="18"/>
                <w:szCs w:val="18"/>
              </w:rPr>
              <w:t>1.11%</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根据市场调查进行确定。</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广州越秀正佳东方国际广场</w:t>
            </w:r>
          </w:p>
        </w:tc>
        <w:tc>
          <w:tcPr>
            <w:tcW w:w="43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68,875,409.52</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49,773,000.00</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19,102,409.52</w:t>
            </w:r>
          </w:p>
        </w:tc>
        <w:tc>
          <w:tcPr>
            <w:tcW w:w="648"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评估</w:t>
            </w:r>
          </w:p>
        </w:tc>
        <w:tc>
          <w:tcPr>
            <w:tcW w:w="158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公允价值</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处置费用。销售费用按公允价值的</w:t>
            </w:r>
            <w:r>
              <w:rPr>
                <w:rFonts w:ascii="Times New Roman" w:eastAsia="宋体" w:hAnsi="Times New Roman" w:cs="Times New Roman" w:hint="eastAsia"/>
                <w:sz w:val="18"/>
                <w:szCs w:val="18"/>
              </w:rPr>
              <w:t>1%</w:t>
            </w:r>
            <w:r>
              <w:rPr>
                <w:rFonts w:ascii="Times New Roman" w:eastAsia="宋体" w:hAnsi="Times New Roman" w:cs="Times New Roman" w:hint="eastAsia"/>
                <w:sz w:val="18"/>
                <w:szCs w:val="18"/>
              </w:rPr>
              <w:t>，税金及附加为</w:t>
            </w:r>
            <w:r>
              <w:rPr>
                <w:rFonts w:ascii="Times New Roman" w:eastAsia="宋体" w:hAnsi="Times New Roman" w:cs="Times New Roman" w:hint="eastAsia"/>
                <w:sz w:val="18"/>
                <w:szCs w:val="18"/>
              </w:rPr>
              <w:t>1.11%</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根据市场调查进行确定。</w:t>
            </w:r>
          </w:p>
        </w:tc>
      </w:tr>
      <w:tr w:rsidR="00403CD6">
        <w:trPr>
          <w:trHeight w:val="284"/>
        </w:trPr>
        <w:tc>
          <w:tcPr>
            <w:tcW w:w="77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43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4,153,465,002.15</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4,051,237,012.06</w:t>
            </w:r>
          </w:p>
        </w:tc>
        <w:tc>
          <w:tcPr>
            <w:tcW w:w="43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102,227,990.09</w:t>
            </w:r>
          </w:p>
        </w:tc>
        <w:tc>
          <w:tcPr>
            <w:tcW w:w="648" w:type="pct"/>
            <w:shd w:val="clear" w:color="auto" w:fill="D3D3D3"/>
            <w:vAlign w:val="center"/>
          </w:tcPr>
          <w:p w:rsidR="00403CD6" w:rsidRDefault="00403CD6">
            <w:pPr>
              <w:rPr>
                <w:rFonts w:ascii="Times New Roman" w:hAnsi="Times New Roman" w:cs="Times New Roman"/>
              </w:rPr>
            </w:pPr>
          </w:p>
        </w:tc>
        <w:tc>
          <w:tcPr>
            <w:tcW w:w="1582" w:type="pct"/>
            <w:shd w:val="clear" w:color="auto" w:fill="D3D3D3"/>
            <w:vAlign w:val="center"/>
          </w:tcPr>
          <w:p w:rsidR="00403CD6" w:rsidRDefault="00403CD6">
            <w:pPr>
              <w:rPr>
                <w:rFonts w:ascii="Times New Roman" w:hAnsi="Times New Roman" w:cs="Times New Roman"/>
              </w:rPr>
            </w:pPr>
          </w:p>
        </w:tc>
        <w:tc>
          <w:tcPr>
            <w:tcW w:w="701"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 w:val="18"/>
          <w:szCs w:val="18"/>
        </w:rPr>
      </w:pPr>
      <w:r>
        <w:rPr>
          <w:rFonts w:ascii="宋体" w:eastAsia="宋体" w:hAnsi="宋体" w:cs="宋体" w:hint="eastAsia"/>
          <w:b/>
          <w:bCs/>
          <w:sz w:val="18"/>
          <w:szCs w:val="18"/>
        </w:rPr>
        <w:t>（2） 采用公允价值计量模式的投资性房地产</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 w:val="18"/>
          <w:szCs w:val="18"/>
        </w:rPr>
      </w:pPr>
      <w:bookmarkStart w:id="67" w:name="_Toc989271"/>
      <w:r>
        <w:rPr>
          <w:rFonts w:ascii="宋体" w:eastAsia="宋体" w:hAnsi="宋体" w:cs="宋体" w:hint="eastAsia"/>
          <w:b/>
          <w:bCs/>
          <w:sz w:val="18"/>
          <w:szCs w:val="18"/>
        </w:rPr>
        <w:t>（3） 未办妥产权证书的投资性房地产情况</w:t>
      </w:r>
      <w:bookmarkEnd w:id="67"/>
    </w:p>
    <w:p w:rsidR="00403CD6" w:rsidRDefault="00E91A59">
      <w:r>
        <w:rPr>
          <w:rFonts w:ascii="宋体" w:eastAsia="宋体" w:hAnsi="宋体" w:cs="宋体" w:hint="eastAsia"/>
          <w:sz w:val="18"/>
          <w:szCs w:val="18"/>
        </w:rPr>
        <w:t>公司不存在未办妥产权证书的投资性房地产。</w:t>
      </w:r>
    </w:p>
    <w:p w:rsidR="00403CD6" w:rsidRDefault="00E91A59">
      <w:pPr>
        <w:keepNext/>
        <w:keepLines/>
        <w:spacing w:before="300" w:after="300" w:line="280" w:lineRule="exact"/>
        <w:outlineLvl w:val="2"/>
        <w:rPr>
          <w:rFonts w:ascii="宋体" w:eastAsia="宋体" w:hAnsi="宋体" w:cs="宋体"/>
          <w:b/>
          <w:bCs/>
          <w:szCs w:val="21"/>
        </w:rPr>
      </w:pPr>
      <w:bookmarkStart w:id="68" w:name="_Toc989272"/>
      <w:r>
        <w:rPr>
          <w:rFonts w:ascii="宋体" w:eastAsia="宋体" w:hAnsi="宋体" w:cs="宋体" w:hint="eastAsia"/>
          <w:b/>
          <w:bCs/>
          <w:szCs w:val="21"/>
        </w:rPr>
        <w:t>15、固定资产</w:t>
      </w:r>
      <w:bookmarkEnd w:id="68"/>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固定资产</w:t>
            </w:r>
          </w:p>
        </w:tc>
        <w:tc>
          <w:tcPr>
            <w:tcW w:w="166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31,855,069,324.04</w:t>
            </w:r>
          </w:p>
        </w:tc>
        <w:tc>
          <w:tcPr>
            <w:tcW w:w="1666"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 xml:space="preserve">33,186,248,169.56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31,855,069,324.04</w:t>
            </w:r>
          </w:p>
        </w:tc>
        <w:tc>
          <w:tcPr>
            <w:tcW w:w="1666"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 xml:space="preserve">33,186,248,169.56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固定资产情况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438"/>
        <w:gridCol w:w="1558"/>
        <w:gridCol w:w="1419"/>
        <w:gridCol w:w="1417"/>
        <w:gridCol w:w="1275"/>
        <w:gridCol w:w="1570"/>
      </w:tblGrid>
      <w:tr w:rsidR="00403CD6">
        <w:trPr>
          <w:trHeight w:val="284"/>
        </w:trPr>
        <w:tc>
          <w:tcPr>
            <w:tcW w:w="126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805" w:type="pct"/>
            <w:shd w:val="clear" w:color="auto" w:fill="D8D8D8" w:themeFill="background1" w:themeFillShade="D8"/>
            <w:vAlign w:val="center"/>
          </w:tcPr>
          <w:p w:rsidR="00403CD6" w:rsidRDefault="00E91A59">
            <w:pPr>
              <w:jc w:val="center"/>
              <w:rPr>
                <w:rFonts w:ascii="Times New Roman" w:eastAsia="宋体" w:hAnsi="Times New Roman" w:cs="Times New Roman"/>
                <w:sz w:val="18"/>
                <w:szCs w:val="18"/>
              </w:rPr>
            </w:pPr>
            <w:r>
              <w:rPr>
                <w:rFonts w:ascii="Times New Roman" w:hAnsi="Times New Roman" w:cs="Times New Roman"/>
                <w:sz w:val="18"/>
                <w:szCs w:val="18"/>
              </w:rPr>
              <w:t>房屋及建筑物</w:t>
            </w:r>
          </w:p>
        </w:tc>
        <w:tc>
          <w:tcPr>
            <w:tcW w:w="733" w:type="pct"/>
            <w:shd w:val="clear" w:color="auto" w:fill="D8D8D8" w:themeFill="background1" w:themeFillShade="D8"/>
            <w:vAlign w:val="center"/>
          </w:tcPr>
          <w:p w:rsidR="00403CD6" w:rsidRDefault="00E91A59">
            <w:pPr>
              <w:jc w:val="center"/>
              <w:rPr>
                <w:rFonts w:ascii="Times New Roman" w:eastAsia="宋体" w:hAnsi="Times New Roman" w:cs="Times New Roman"/>
                <w:sz w:val="18"/>
                <w:szCs w:val="18"/>
              </w:rPr>
            </w:pPr>
            <w:r>
              <w:rPr>
                <w:rFonts w:ascii="Times New Roman" w:hAnsi="Times New Roman" w:cs="Times New Roman"/>
                <w:sz w:val="18"/>
                <w:szCs w:val="18"/>
              </w:rPr>
              <w:t>机器设备</w:t>
            </w:r>
          </w:p>
        </w:tc>
        <w:tc>
          <w:tcPr>
            <w:tcW w:w="732" w:type="pct"/>
            <w:shd w:val="clear" w:color="auto" w:fill="D3D3D3"/>
            <w:vAlign w:val="center"/>
          </w:tcPr>
          <w:p w:rsidR="00403CD6" w:rsidRDefault="00E91A59">
            <w:pPr>
              <w:jc w:val="center"/>
              <w:rPr>
                <w:rFonts w:ascii="Times New Roman" w:eastAsia="宋体" w:hAnsi="Times New Roman" w:cs="Times New Roman"/>
                <w:sz w:val="18"/>
                <w:szCs w:val="18"/>
              </w:rPr>
            </w:pPr>
            <w:r>
              <w:rPr>
                <w:rFonts w:ascii="Times New Roman" w:hAnsi="Times New Roman" w:cs="Times New Roman"/>
                <w:sz w:val="18"/>
                <w:szCs w:val="18"/>
              </w:rPr>
              <w:t>运输设备</w:t>
            </w:r>
          </w:p>
        </w:tc>
        <w:tc>
          <w:tcPr>
            <w:tcW w:w="659" w:type="pct"/>
            <w:shd w:val="clear" w:color="auto" w:fill="D3D3D3"/>
            <w:vAlign w:val="center"/>
          </w:tcPr>
          <w:p w:rsidR="00403CD6" w:rsidRDefault="00E91A59">
            <w:pPr>
              <w:jc w:val="center"/>
              <w:rPr>
                <w:rFonts w:ascii="Times New Roman" w:eastAsia="宋体" w:hAnsi="Times New Roman" w:cs="Times New Roman"/>
                <w:sz w:val="18"/>
                <w:szCs w:val="18"/>
              </w:rPr>
            </w:pPr>
            <w:r>
              <w:rPr>
                <w:rFonts w:ascii="Times New Roman" w:hAnsi="Times New Roman" w:cs="Times New Roman"/>
                <w:sz w:val="18"/>
                <w:szCs w:val="18"/>
              </w:rPr>
              <w:t>电子设备及其他</w:t>
            </w:r>
          </w:p>
        </w:tc>
        <w:tc>
          <w:tcPr>
            <w:tcW w:w="811" w:type="pct"/>
            <w:shd w:val="clear" w:color="auto" w:fill="D3D3D3"/>
            <w:vAlign w:val="center"/>
          </w:tcPr>
          <w:p w:rsidR="00403CD6" w:rsidRDefault="00E91A59">
            <w:pPr>
              <w:jc w:val="center"/>
              <w:rPr>
                <w:rFonts w:ascii="Times New Roman" w:eastAsia="宋体" w:hAnsi="Times New Roman" w:cs="Times New Roman"/>
                <w:sz w:val="18"/>
                <w:szCs w:val="18"/>
              </w:rPr>
            </w:pPr>
            <w:r>
              <w:rPr>
                <w:rFonts w:ascii="Times New Roman" w:hAnsi="Times New Roman" w:cs="Times New Roman"/>
                <w:sz w:val="18"/>
                <w:szCs w:val="18"/>
              </w:rPr>
              <w:t>合计</w:t>
            </w:r>
          </w:p>
        </w:tc>
      </w:tr>
      <w:tr w:rsidR="00403CD6">
        <w:trPr>
          <w:trHeight w:val="284"/>
        </w:trPr>
        <w:tc>
          <w:tcPr>
            <w:tcW w:w="126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一、账面原值：</w:t>
            </w:r>
          </w:p>
        </w:tc>
        <w:tc>
          <w:tcPr>
            <w:tcW w:w="805" w:type="pct"/>
            <w:vAlign w:val="center"/>
          </w:tcPr>
          <w:p w:rsidR="00403CD6" w:rsidRDefault="00403CD6">
            <w:pPr>
              <w:jc w:val="right"/>
              <w:rPr>
                <w:rFonts w:ascii="Times New Roman" w:eastAsia="宋体" w:hAnsi="Times New Roman" w:cs="Times New Roman"/>
                <w:sz w:val="18"/>
                <w:szCs w:val="18"/>
              </w:rPr>
            </w:pPr>
          </w:p>
        </w:tc>
        <w:tc>
          <w:tcPr>
            <w:tcW w:w="733" w:type="pct"/>
            <w:vAlign w:val="center"/>
          </w:tcPr>
          <w:p w:rsidR="00403CD6" w:rsidRDefault="00403CD6">
            <w:pPr>
              <w:jc w:val="right"/>
              <w:rPr>
                <w:rFonts w:ascii="Times New Roman" w:eastAsia="宋体" w:hAnsi="Times New Roman" w:cs="Times New Roman"/>
                <w:sz w:val="18"/>
                <w:szCs w:val="18"/>
              </w:rPr>
            </w:pPr>
          </w:p>
        </w:tc>
        <w:tc>
          <w:tcPr>
            <w:tcW w:w="732" w:type="pct"/>
            <w:vAlign w:val="center"/>
          </w:tcPr>
          <w:p w:rsidR="00403CD6" w:rsidRDefault="00403CD6">
            <w:pPr>
              <w:jc w:val="right"/>
              <w:rPr>
                <w:rFonts w:ascii="Times New Roman" w:eastAsia="宋体" w:hAnsi="Times New Roman" w:cs="Times New Roman"/>
                <w:sz w:val="18"/>
                <w:szCs w:val="18"/>
              </w:rPr>
            </w:pPr>
          </w:p>
        </w:tc>
        <w:tc>
          <w:tcPr>
            <w:tcW w:w="659" w:type="pct"/>
            <w:vAlign w:val="center"/>
          </w:tcPr>
          <w:p w:rsidR="00403CD6" w:rsidRDefault="00403CD6">
            <w:pPr>
              <w:jc w:val="right"/>
              <w:rPr>
                <w:rFonts w:ascii="Times New Roman" w:eastAsia="宋体" w:hAnsi="Times New Roman" w:cs="Times New Roman"/>
                <w:sz w:val="18"/>
                <w:szCs w:val="18"/>
              </w:rPr>
            </w:pPr>
          </w:p>
        </w:tc>
        <w:tc>
          <w:tcPr>
            <w:tcW w:w="811"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11,722,953,106.41</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43,133,736,594.15</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294,812,326.00</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398,874,518.61</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55,550,376,545.17</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185,190,958.99</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805,013,161.41</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2,438,389.50</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3,629,309.18</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996,271,819.08</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）购置</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90,115,733.97</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108,152,608.87</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2,438,389.50</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3,629,309.18</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204,336,041.52</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2</w:t>
            </w:r>
            <w:r>
              <w:rPr>
                <w:rFonts w:ascii="Times New Roman" w:eastAsia="宋体" w:hAnsi="Times New Roman" w:cs="Times New Roman"/>
                <w:sz w:val="18"/>
                <w:szCs w:val="18"/>
              </w:rPr>
              <w:t>）在建工程转入</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16,118,099.31</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436,860,552.54</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452,978,651.85</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3</w:t>
            </w:r>
            <w:r>
              <w:rPr>
                <w:rFonts w:ascii="Times New Roman" w:eastAsia="宋体" w:hAnsi="Times New Roman" w:cs="Times New Roman"/>
                <w:sz w:val="18"/>
                <w:szCs w:val="18"/>
              </w:rPr>
              <w:t>）</w:t>
            </w:r>
            <w:r>
              <w:rPr>
                <w:rFonts w:ascii="Times New Roman" w:eastAsia="宋体" w:hAnsi="Times New Roman" w:cs="Times New Roman" w:hint="eastAsia"/>
                <w:sz w:val="18"/>
                <w:szCs w:val="18"/>
              </w:rPr>
              <w:t>债务重组</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78,957,125.71</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260,000,000.00</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338,957,125.71</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87,596,205.70</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214,424,554.21</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28,880,416.48</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21,916,943.17</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352,818,119.56</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）处置或报废</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87,596,205.70</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214,424,554.21</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28,880,416.48</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21,916,943.17</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352,818,119.56</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11,820,547,859.70</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43,724,325,201.35</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268,370,299.02</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380,586,884.62</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56,193,830,244.69</w:t>
            </w:r>
          </w:p>
        </w:tc>
      </w:tr>
      <w:tr w:rsidR="00403CD6">
        <w:trPr>
          <w:trHeight w:val="284"/>
        </w:trPr>
        <w:tc>
          <w:tcPr>
            <w:tcW w:w="126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二、累计折旧</w:t>
            </w:r>
          </w:p>
        </w:tc>
        <w:tc>
          <w:tcPr>
            <w:tcW w:w="805"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3"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2,624,265,582.21</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19,050,501,794.09</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222,005,103.33</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263,312,432.67</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22,160,084,912.30</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304,582,020.17</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1,782,635,041.99</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16,227,822.00</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9,144,414.71</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2,112,589,298.87</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304,582,020.17</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1,782,635,041.99</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16,227,822.00</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9,144,414.71</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2,112,589,298.87</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28,516,633.86</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129,026,043.17</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24,019,376.64</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17,798,386.42</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199,360,440.09</w:t>
            </w:r>
          </w:p>
        </w:tc>
      </w:tr>
      <w:tr w:rsidR="00403CD6">
        <w:trPr>
          <w:trHeight w:val="284"/>
        </w:trPr>
        <w:tc>
          <w:tcPr>
            <w:tcW w:w="1260" w:type="pct"/>
            <w:shd w:val="clear" w:color="auto" w:fill="D8D8D8" w:themeFill="background1" w:themeFillShade="D8"/>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lastRenderedPageBreak/>
              <w:t>（</w:t>
            </w:r>
            <w:r>
              <w:rPr>
                <w:rFonts w:ascii="Times New Roman" w:eastAsia="宋体" w:hAnsi="Times New Roman" w:cs="Times New Roman"/>
                <w:sz w:val="18"/>
                <w:szCs w:val="18"/>
              </w:rPr>
              <w:t>1</w:t>
            </w:r>
            <w:r>
              <w:rPr>
                <w:rFonts w:ascii="Times New Roman" w:eastAsia="宋体" w:hAnsi="Times New Roman" w:cs="Times New Roman"/>
                <w:sz w:val="18"/>
                <w:szCs w:val="18"/>
              </w:rPr>
              <w:t>）处置或报废</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28,516,633.86</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129,026,043.17</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24,019,376.64</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17,798,386.42</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199,360,440.09</w:t>
            </w:r>
          </w:p>
        </w:tc>
      </w:tr>
      <w:tr w:rsidR="00403CD6">
        <w:trPr>
          <w:trHeight w:val="284"/>
        </w:trPr>
        <w:tc>
          <w:tcPr>
            <w:tcW w:w="1260" w:type="pct"/>
            <w:shd w:val="clear" w:color="auto" w:fill="D8D8D8" w:themeFill="background1" w:themeFillShade="D8"/>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 xml:space="preserve">       </w:t>
            </w:r>
            <w:r>
              <w:rPr>
                <w:rFonts w:ascii="Times New Roman" w:eastAsia="宋体" w:hAnsi="Times New Roman" w:cs="Times New Roman" w:hint="eastAsia"/>
                <w:sz w:val="18"/>
                <w:szCs w:val="18"/>
                <w:shd w:val="clear" w:color="auto" w:fill="D8D8D8" w:themeFill="background1" w:themeFillShade="D8"/>
              </w:rPr>
              <w:t xml:space="preserve">          </w:t>
            </w:r>
            <w:r>
              <w:rPr>
                <w:rFonts w:ascii="Times New Roman" w:eastAsia="宋体" w:hAnsi="Times New Roman" w:cs="Times New Roman" w:hint="eastAsia"/>
                <w:sz w:val="18"/>
                <w:szCs w:val="18"/>
                <w:shd w:val="clear" w:color="auto" w:fill="D8D8D8" w:themeFill="background1" w:themeFillShade="D8"/>
              </w:rPr>
              <w:t>（</w:t>
            </w:r>
            <w:r>
              <w:rPr>
                <w:rFonts w:ascii="Times New Roman" w:eastAsia="宋体" w:hAnsi="Times New Roman" w:cs="Times New Roman" w:hint="eastAsia"/>
                <w:sz w:val="18"/>
                <w:szCs w:val="18"/>
                <w:shd w:val="clear" w:color="auto" w:fill="D8D8D8" w:themeFill="background1" w:themeFillShade="D8"/>
              </w:rPr>
              <w:t>2</w:t>
            </w:r>
            <w:r>
              <w:rPr>
                <w:rFonts w:ascii="Times New Roman" w:eastAsia="宋体" w:hAnsi="Times New Roman" w:cs="Times New Roman" w:hint="eastAsia"/>
                <w:sz w:val="18"/>
                <w:szCs w:val="18"/>
                <w:shd w:val="clear" w:color="auto" w:fill="D8D8D8" w:themeFill="background1" w:themeFillShade="D8"/>
              </w:rPr>
              <w:t>）其他减少</w:t>
            </w:r>
          </w:p>
        </w:tc>
        <w:tc>
          <w:tcPr>
            <w:tcW w:w="805"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3"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2,900,330,968.52</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20,704,110,792.91</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214,213,548.69</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254,658,460.96</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24,073,313,771.08</w:t>
            </w:r>
          </w:p>
        </w:tc>
      </w:tr>
      <w:tr w:rsidR="00403CD6">
        <w:trPr>
          <w:trHeight w:val="284"/>
        </w:trPr>
        <w:tc>
          <w:tcPr>
            <w:tcW w:w="126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三、减值准备</w:t>
            </w:r>
          </w:p>
        </w:tc>
        <w:tc>
          <w:tcPr>
            <w:tcW w:w="805"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3"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27,808,852.79</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168,785,487.47</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13,889.13</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7,435,233.92</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204,043,463.31</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37,498,185.92</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31,528,912.00</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 xml:space="preserve">69,027,097.92 </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37,498,185.92</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宋体" w:hAnsi="Times New Roman" w:cs="Times New Roman"/>
                <w:sz w:val="18"/>
                <w:szCs w:val="18"/>
              </w:rPr>
              <w:t>31,528,912.00</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 xml:space="preserve">69,027,097.92 </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05"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7,623,411.66</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7,623,411.66</w:t>
            </w:r>
          </w:p>
        </w:tc>
      </w:tr>
      <w:tr w:rsidR="00403CD6">
        <w:trPr>
          <w:trHeight w:val="284"/>
        </w:trPr>
        <w:tc>
          <w:tcPr>
            <w:tcW w:w="1260"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）处置或报废</w:t>
            </w:r>
          </w:p>
        </w:tc>
        <w:tc>
          <w:tcPr>
            <w:tcW w:w="805"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7,623,411.66</w:t>
            </w:r>
          </w:p>
        </w:tc>
        <w:tc>
          <w:tcPr>
            <w:tcW w:w="732"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65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7,623,411.66</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05"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65,307,038.71</w:t>
            </w:r>
          </w:p>
        </w:tc>
        <w:tc>
          <w:tcPr>
            <w:tcW w:w="733"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192,690,987.81</w:t>
            </w:r>
          </w:p>
        </w:tc>
        <w:tc>
          <w:tcPr>
            <w:tcW w:w="732"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13,889.13</w:t>
            </w:r>
          </w:p>
        </w:tc>
        <w:tc>
          <w:tcPr>
            <w:tcW w:w="65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7,435,233.92</w:t>
            </w:r>
          </w:p>
        </w:tc>
        <w:tc>
          <w:tcPr>
            <w:tcW w:w="811"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 xml:space="preserve">265,447,149.57 </w:t>
            </w:r>
          </w:p>
        </w:tc>
      </w:tr>
      <w:tr w:rsidR="00403CD6">
        <w:trPr>
          <w:trHeight w:val="284"/>
        </w:trPr>
        <w:tc>
          <w:tcPr>
            <w:tcW w:w="126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四、账面价值</w:t>
            </w:r>
          </w:p>
        </w:tc>
        <w:tc>
          <w:tcPr>
            <w:tcW w:w="805" w:type="pct"/>
            <w:vAlign w:val="center"/>
          </w:tcPr>
          <w:p w:rsidR="00403CD6" w:rsidRDefault="00403CD6">
            <w:pPr>
              <w:jc w:val="right"/>
              <w:rPr>
                <w:rFonts w:ascii="Times New Roman" w:eastAsia="宋体" w:hAnsi="Times New Roman" w:cs="Times New Roman"/>
                <w:sz w:val="18"/>
                <w:szCs w:val="18"/>
              </w:rPr>
            </w:pPr>
          </w:p>
        </w:tc>
        <w:tc>
          <w:tcPr>
            <w:tcW w:w="733" w:type="pct"/>
            <w:vAlign w:val="center"/>
          </w:tcPr>
          <w:p w:rsidR="00403CD6" w:rsidRDefault="00403CD6">
            <w:pPr>
              <w:jc w:val="right"/>
              <w:rPr>
                <w:rFonts w:ascii="Times New Roman" w:eastAsia="宋体" w:hAnsi="Times New Roman" w:cs="Times New Roman"/>
                <w:sz w:val="18"/>
                <w:szCs w:val="18"/>
              </w:rPr>
            </w:pPr>
          </w:p>
        </w:tc>
        <w:tc>
          <w:tcPr>
            <w:tcW w:w="732" w:type="pct"/>
            <w:vAlign w:val="center"/>
          </w:tcPr>
          <w:p w:rsidR="00403CD6" w:rsidRDefault="00403CD6">
            <w:pPr>
              <w:jc w:val="right"/>
              <w:rPr>
                <w:rFonts w:ascii="Times New Roman" w:eastAsia="宋体" w:hAnsi="Times New Roman" w:cs="Times New Roman"/>
                <w:sz w:val="18"/>
                <w:szCs w:val="18"/>
              </w:rPr>
            </w:pPr>
          </w:p>
        </w:tc>
        <w:tc>
          <w:tcPr>
            <w:tcW w:w="659" w:type="pct"/>
            <w:vAlign w:val="center"/>
          </w:tcPr>
          <w:p w:rsidR="00403CD6" w:rsidRDefault="00403CD6">
            <w:pPr>
              <w:jc w:val="right"/>
              <w:rPr>
                <w:rFonts w:ascii="Times New Roman" w:eastAsia="宋体" w:hAnsi="Times New Roman" w:cs="Times New Roman"/>
                <w:sz w:val="18"/>
                <w:szCs w:val="18"/>
              </w:rPr>
            </w:pPr>
          </w:p>
        </w:tc>
        <w:tc>
          <w:tcPr>
            <w:tcW w:w="811"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期末账面价值</w:t>
            </w:r>
          </w:p>
        </w:tc>
        <w:tc>
          <w:tcPr>
            <w:tcW w:w="805"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8,854,909,852.47</w:t>
            </w:r>
          </w:p>
        </w:tc>
        <w:tc>
          <w:tcPr>
            <w:tcW w:w="733"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22,827,523,420.63</w:t>
            </w:r>
          </w:p>
        </w:tc>
        <w:tc>
          <w:tcPr>
            <w:tcW w:w="732"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54,142,861.20</w:t>
            </w:r>
          </w:p>
        </w:tc>
        <w:tc>
          <w:tcPr>
            <w:tcW w:w="659"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118,493,189.74</w:t>
            </w:r>
          </w:p>
        </w:tc>
        <w:tc>
          <w:tcPr>
            <w:tcW w:w="811"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31,855,069,324.04</w:t>
            </w:r>
          </w:p>
        </w:tc>
      </w:tr>
      <w:tr w:rsidR="00403CD6">
        <w:trPr>
          <w:trHeight w:val="284"/>
        </w:trPr>
        <w:tc>
          <w:tcPr>
            <w:tcW w:w="126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期初账面价值</w:t>
            </w:r>
          </w:p>
        </w:tc>
        <w:tc>
          <w:tcPr>
            <w:tcW w:w="805"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9,070,878,671.41</w:t>
            </w:r>
          </w:p>
        </w:tc>
        <w:tc>
          <w:tcPr>
            <w:tcW w:w="733"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23,914,449,312.59</w:t>
            </w:r>
          </w:p>
        </w:tc>
        <w:tc>
          <w:tcPr>
            <w:tcW w:w="732"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72,793,333.54</w:t>
            </w:r>
          </w:p>
        </w:tc>
        <w:tc>
          <w:tcPr>
            <w:tcW w:w="659"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128,126,852.02</w:t>
            </w:r>
          </w:p>
        </w:tc>
        <w:tc>
          <w:tcPr>
            <w:tcW w:w="811"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33,186,248,169.56</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暂时闲置的固定资产情况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7"/>
        <w:gridCol w:w="1515"/>
        <w:gridCol w:w="2028"/>
        <w:gridCol w:w="2268"/>
        <w:gridCol w:w="1701"/>
        <w:gridCol w:w="674"/>
      </w:tblGrid>
      <w:tr w:rsidR="00403CD6">
        <w:trPr>
          <w:trHeight w:val="284"/>
        </w:trPr>
        <w:tc>
          <w:tcPr>
            <w:tcW w:w="84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6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账面原值</w:t>
            </w:r>
          </w:p>
        </w:tc>
        <w:tc>
          <w:tcPr>
            <w:tcW w:w="10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累计折旧</w:t>
            </w:r>
          </w:p>
        </w:tc>
        <w:tc>
          <w:tcPr>
            <w:tcW w:w="11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34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备注</w:t>
            </w:r>
          </w:p>
        </w:tc>
      </w:tr>
      <w:tr w:rsidR="00403CD6">
        <w:trPr>
          <w:trHeight w:val="284"/>
        </w:trPr>
        <w:tc>
          <w:tcPr>
            <w:tcW w:w="846" w:type="pct"/>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color w:val="000000"/>
                <w:sz w:val="18"/>
                <w:szCs w:val="18"/>
              </w:rPr>
              <w:t>房屋及建筑物</w:t>
            </w:r>
          </w:p>
        </w:tc>
        <w:tc>
          <w:tcPr>
            <w:tcW w:w="76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72,464,084.41</w:t>
            </w:r>
          </w:p>
        </w:tc>
        <w:tc>
          <w:tcPr>
            <w:tcW w:w="102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26,914,458.81</w:t>
            </w:r>
          </w:p>
        </w:tc>
        <w:tc>
          <w:tcPr>
            <w:tcW w:w="115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3,093,008.64</w:t>
            </w:r>
          </w:p>
        </w:tc>
        <w:tc>
          <w:tcPr>
            <w:tcW w:w="863"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42,456,616.96</w:t>
            </w:r>
          </w:p>
        </w:tc>
        <w:tc>
          <w:tcPr>
            <w:tcW w:w="342"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846" w:type="pct"/>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color w:val="000000"/>
                <w:sz w:val="18"/>
                <w:szCs w:val="18"/>
              </w:rPr>
              <w:t>机器设备</w:t>
            </w:r>
          </w:p>
        </w:tc>
        <w:tc>
          <w:tcPr>
            <w:tcW w:w="76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1,146,244,589.87</w:t>
            </w:r>
          </w:p>
        </w:tc>
        <w:tc>
          <w:tcPr>
            <w:tcW w:w="102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594,604,349.18</w:t>
            </w:r>
          </w:p>
        </w:tc>
        <w:tc>
          <w:tcPr>
            <w:tcW w:w="115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179,338,924.05</w:t>
            </w:r>
          </w:p>
        </w:tc>
        <w:tc>
          <w:tcPr>
            <w:tcW w:w="863"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372,301,316.64</w:t>
            </w:r>
          </w:p>
        </w:tc>
        <w:tc>
          <w:tcPr>
            <w:tcW w:w="342"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846" w:type="pct"/>
            <w:tcBorders>
              <w:bottom w:val="single" w:sz="4" w:space="0" w:color="auto"/>
            </w:tcBorders>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color w:val="000000"/>
                <w:sz w:val="18"/>
                <w:szCs w:val="18"/>
              </w:rPr>
              <w:t>电子设备</w:t>
            </w:r>
          </w:p>
        </w:tc>
        <w:tc>
          <w:tcPr>
            <w:tcW w:w="76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303,999.85</w:t>
            </w:r>
          </w:p>
        </w:tc>
        <w:tc>
          <w:tcPr>
            <w:tcW w:w="102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273,600.10</w:t>
            </w:r>
          </w:p>
        </w:tc>
        <w:tc>
          <w:tcPr>
            <w:tcW w:w="115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7,187.27</w:t>
            </w:r>
          </w:p>
        </w:tc>
        <w:tc>
          <w:tcPr>
            <w:tcW w:w="863"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23,212.48</w:t>
            </w:r>
          </w:p>
        </w:tc>
        <w:tc>
          <w:tcPr>
            <w:tcW w:w="342"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846" w:type="pct"/>
            <w:shd w:val="clear" w:color="auto" w:fill="D9D9D9" w:themeFill="background1" w:themeFillShade="D9"/>
            <w:vAlign w:val="center"/>
          </w:tcPr>
          <w:p w:rsidR="00403CD6" w:rsidRDefault="00E91A59">
            <w:pPr>
              <w:autoSpaceDE w:val="0"/>
              <w:autoSpaceDN w:val="0"/>
              <w:adjustRightInd w:val="0"/>
              <w:snapToGrid w:val="0"/>
              <w:jc w:val="center"/>
              <w:rPr>
                <w:rFonts w:asciiTheme="minorEastAsia" w:hAnsiTheme="minorEastAsia" w:cstheme="minorEastAsia"/>
                <w:sz w:val="18"/>
                <w:szCs w:val="18"/>
              </w:rPr>
            </w:pPr>
            <w:r>
              <w:rPr>
                <w:rFonts w:asciiTheme="minorEastAsia" w:hAnsiTheme="minorEastAsia" w:cstheme="minorEastAsia" w:hint="eastAsia"/>
                <w:color w:val="000000"/>
                <w:sz w:val="18"/>
                <w:szCs w:val="18"/>
              </w:rPr>
              <w:t>合计</w:t>
            </w:r>
          </w:p>
        </w:tc>
        <w:tc>
          <w:tcPr>
            <w:tcW w:w="76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1,219,012,674.13</w:t>
            </w:r>
          </w:p>
        </w:tc>
        <w:tc>
          <w:tcPr>
            <w:tcW w:w="1029"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621,792,408.09</w:t>
            </w:r>
          </w:p>
        </w:tc>
        <w:tc>
          <w:tcPr>
            <w:tcW w:w="115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182,439,119.96</w:t>
            </w:r>
          </w:p>
        </w:tc>
        <w:tc>
          <w:tcPr>
            <w:tcW w:w="863"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414,781,146.08</w:t>
            </w:r>
          </w:p>
        </w:tc>
        <w:tc>
          <w:tcPr>
            <w:tcW w:w="342" w:type="pct"/>
            <w:vAlign w:val="center"/>
          </w:tcPr>
          <w:p w:rsidR="00403CD6" w:rsidRDefault="00403CD6">
            <w:pPr>
              <w:spacing w:line="240" w:lineRule="exact"/>
              <w:rPr>
                <w:rFonts w:ascii="Times New Roman" w:eastAsia="宋体"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未办妥产权证书的固定资产情况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9"/>
        <w:gridCol w:w="2850"/>
        <w:gridCol w:w="2824"/>
      </w:tblGrid>
      <w:tr w:rsidR="00403CD6">
        <w:trPr>
          <w:trHeight w:val="284"/>
        </w:trPr>
        <w:tc>
          <w:tcPr>
            <w:tcW w:w="21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44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143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未办妥产权证书的原因</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房屋建筑物（崇闵文化发展（上海）有限公司）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1,172,180,611.42</w:t>
            </w:r>
          </w:p>
        </w:tc>
        <w:tc>
          <w:tcPr>
            <w:tcW w:w="2824" w:type="dxa"/>
            <w:vAlign w:val="bottom"/>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房屋建筑物（湛江晨鸣浆纸有限公司）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958,010,770.92</w:t>
            </w:r>
          </w:p>
        </w:tc>
        <w:tc>
          <w:tcPr>
            <w:tcW w:w="2824" w:type="dxa"/>
            <w:vAlign w:val="bottom"/>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房屋建筑物（寿光美伦纸业有限责任公司）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467,847,134.79</w:t>
            </w:r>
          </w:p>
        </w:tc>
        <w:tc>
          <w:tcPr>
            <w:tcW w:w="2824" w:type="dxa"/>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房屋建筑物（吉林晨鸣纸业有限责任公司）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427,523,333.72</w:t>
            </w:r>
          </w:p>
        </w:tc>
        <w:tc>
          <w:tcPr>
            <w:tcW w:w="2824" w:type="dxa"/>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房屋建筑物（江西晨鸣纸业有限责任公司）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189,228,867.38</w:t>
            </w:r>
          </w:p>
        </w:tc>
        <w:tc>
          <w:tcPr>
            <w:tcW w:w="2824" w:type="dxa"/>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房屋建筑物（山东晨鸣纸业集团股份有限公司）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135,600,113.40</w:t>
            </w:r>
          </w:p>
        </w:tc>
        <w:tc>
          <w:tcPr>
            <w:tcW w:w="2824" w:type="dxa"/>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tcBorders>
              <w:bottom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房屋建筑物（黄冈晨鸣浆纸有限公司）</w:t>
            </w:r>
          </w:p>
        </w:tc>
        <w:tc>
          <w:tcPr>
            <w:tcW w:w="2850"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8,403,482.71</w:t>
            </w:r>
          </w:p>
        </w:tc>
        <w:tc>
          <w:tcPr>
            <w:tcW w:w="2824" w:type="dxa"/>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正在办理中</w:t>
            </w:r>
          </w:p>
        </w:tc>
      </w:tr>
      <w:tr w:rsidR="00403CD6">
        <w:trPr>
          <w:trHeight w:val="284"/>
        </w:trPr>
        <w:tc>
          <w:tcPr>
            <w:tcW w:w="4179" w:type="dxa"/>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合计</w:t>
            </w:r>
          </w:p>
        </w:tc>
        <w:tc>
          <w:tcPr>
            <w:tcW w:w="2850" w:type="dxa"/>
            <w:vAlign w:val="center"/>
          </w:tcPr>
          <w:p w:rsidR="00403CD6" w:rsidRDefault="00E91A59">
            <w:pPr>
              <w:jc w:val="right"/>
              <w:rPr>
                <w:rFonts w:ascii="Times New Roman" w:eastAsia="宋体" w:hAnsi="Times New Roman" w:cs="Times New Roman"/>
                <w:color w:val="000000"/>
                <w:sz w:val="18"/>
                <w:szCs w:val="18"/>
              </w:rPr>
            </w:pPr>
            <w:r>
              <w:rPr>
                <w:rFonts w:ascii="Times New Roman" w:hAnsi="Times New Roman" w:cs="Times New Roman"/>
                <w:color w:val="000000"/>
                <w:sz w:val="18"/>
                <w:szCs w:val="18"/>
              </w:rPr>
              <w:t>3,358,794,314.34</w:t>
            </w:r>
          </w:p>
        </w:tc>
        <w:tc>
          <w:tcPr>
            <w:tcW w:w="2824" w:type="dxa"/>
            <w:vAlign w:val="center"/>
          </w:tcPr>
          <w:p w:rsidR="00403CD6" w:rsidRDefault="00403CD6">
            <w:pPr>
              <w:jc w:val="right"/>
              <w:rPr>
                <w:rFonts w:ascii="Times New Roman"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（4） 固定资产的减值测试情况</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2"/>
        <w:gridCol w:w="899"/>
        <w:gridCol w:w="1228"/>
        <w:gridCol w:w="995"/>
        <w:gridCol w:w="1561"/>
        <w:gridCol w:w="2408"/>
        <w:gridCol w:w="1240"/>
      </w:tblGrid>
      <w:tr w:rsidR="00403CD6">
        <w:trPr>
          <w:trHeight w:val="284"/>
        </w:trPr>
        <w:tc>
          <w:tcPr>
            <w:tcW w:w="77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45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62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可收回金额</w:t>
            </w:r>
          </w:p>
        </w:tc>
        <w:tc>
          <w:tcPr>
            <w:tcW w:w="50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减值金额</w:t>
            </w:r>
          </w:p>
        </w:tc>
        <w:tc>
          <w:tcPr>
            <w:tcW w:w="7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公允价值和处置费用的确定方式</w:t>
            </w:r>
          </w:p>
        </w:tc>
        <w:tc>
          <w:tcPr>
            <w:tcW w:w="122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w:t>
            </w:r>
          </w:p>
        </w:tc>
        <w:tc>
          <w:tcPr>
            <w:tcW w:w="6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关键参数的确定依据</w:t>
            </w:r>
          </w:p>
        </w:tc>
      </w:tr>
      <w:tr w:rsidR="00403CD6">
        <w:trPr>
          <w:trHeight w:val="284"/>
        </w:trPr>
        <w:tc>
          <w:tcPr>
            <w:tcW w:w="77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浦江国际金融广</w:t>
            </w:r>
            <w:r>
              <w:rPr>
                <w:rFonts w:ascii="Times New Roman" w:hAnsi="Times New Roman" w:cs="Times New Roman"/>
                <w:sz w:val="18"/>
                <w:szCs w:val="18"/>
              </w:rPr>
              <w:lastRenderedPageBreak/>
              <w:t>场</w:t>
            </w:r>
          </w:p>
        </w:tc>
        <w:tc>
          <w:tcPr>
            <w:tcW w:w="45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lastRenderedPageBreak/>
              <w:t>1,028,25</w:t>
            </w:r>
            <w:r>
              <w:rPr>
                <w:rFonts w:ascii="Times New Roman" w:eastAsia="仿宋_GB2312" w:hAnsi="Times New Roman" w:cs="Times New Roman"/>
                <w:sz w:val="18"/>
                <w:szCs w:val="18"/>
              </w:rPr>
              <w:lastRenderedPageBreak/>
              <w:t>0,904.29</w:t>
            </w:r>
          </w:p>
        </w:tc>
        <w:tc>
          <w:tcPr>
            <w:tcW w:w="62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lastRenderedPageBreak/>
              <w:t>1,012,760,20</w:t>
            </w:r>
            <w:r>
              <w:rPr>
                <w:rFonts w:ascii="Times New Roman" w:eastAsia="仿宋_GB2312" w:hAnsi="Times New Roman" w:cs="Times New Roman"/>
                <w:sz w:val="18"/>
                <w:szCs w:val="18"/>
              </w:rPr>
              <w:lastRenderedPageBreak/>
              <w:t>0.7</w:t>
            </w:r>
            <w:r>
              <w:rPr>
                <w:rFonts w:ascii="Times New Roman" w:eastAsia="仿宋_GB2312" w:hAnsi="Times New Roman" w:cs="Times New Roman" w:hint="eastAsia"/>
                <w:sz w:val="18"/>
                <w:szCs w:val="18"/>
              </w:rPr>
              <w:t>9</w:t>
            </w:r>
          </w:p>
        </w:tc>
        <w:tc>
          <w:tcPr>
            <w:tcW w:w="50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lastRenderedPageBreak/>
              <w:t>15,490,70</w:t>
            </w:r>
            <w:r>
              <w:rPr>
                <w:rFonts w:ascii="Times New Roman" w:eastAsia="仿宋_GB2312" w:hAnsi="Times New Roman" w:cs="Times New Roman"/>
                <w:sz w:val="18"/>
                <w:szCs w:val="18"/>
              </w:rPr>
              <w:lastRenderedPageBreak/>
              <w:t>3.50</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评估</w:t>
            </w:r>
          </w:p>
        </w:tc>
        <w:tc>
          <w:tcPr>
            <w:tcW w:w="1222"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公允价值</w:t>
            </w:r>
            <w:r>
              <w:rPr>
                <w:rFonts w:ascii="Times New Roman" w:hAnsi="Times New Roman" w:cs="Times New Roman"/>
                <w:sz w:val="18"/>
                <w:szCs w:val="18"/>
              </w:rPr>
              <w:t>-</w:t>
            </w:r>
            <w:r>
              <w:rPr>
                <w:rFonts w:ascii="Times New Roman" w:hAnsi="Times New Roman" w:cs="Times New Roman"/>
                <w:sz w:val="18"/>
                <w:szCs w:val="18"/>
              </w:rPr>
              <w:t>处置费用。销售</w:t>
            </w:r>
            <w:r>
              <w:rPr>
                <w:rFonts w:ascii="Times New Roman" w:hAnsi="Times New Roman" w:cs="Times New Roman"/>
                <w:sz w:val="18"/>
                <w:szCs w:val="18"/>
              </w:rPr>
              <w:lastRenderedPageBreak/>
              <w:t>费用按公允价值的</w:t>
            </w:r>
            <w:r>
              <w:rPr>
                <w:rFonts w:ascii="Times New Roman" w:hAnsi="Times New Roman" w:cs="Times New Roman"/>
                <w:sz w:val="18"/>
                <w:szCs w:val="18"/>
              </w:rPr>
              <w:t>1%</w:t>
            </w:r>
            <w:r>
              <w:rPr>
                <w:rFonts w:ascii="Times New Roman" w:hAnsi="Times New Roman" w:cs="Times New Roman"/>
                <w:sz w:val="18"/>
                <w:szCs w:val="18"/>
              </w:rPr>
              <w:t>，税金及附加为</w:t>
            </w:r>
            <w:r>
              <w:rPr>
                <w:rFonts w:ascii="Times New Roman" w:hAnsi="Times New Roman" w:cs="Times New Roman"/>
                <w:sz w:val="18"/>
                <w:szCs w:val="18"/>
              </w:rPr>
              <w:t>1.11%</w:t>
            </w:r>
          </w:p>
        </w:tc>
        <w:tc>
          <w:tcPr>
            <w:tcW w:w="629"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lastRenderedPageBreak/>
              <w:t>根据市场调</w:t>
            </w:r>
            <w:r>
              <w:rPr>
                <w:rFonts w:ascii="Times New Roman" w:hAnsi="Times New Roman" w:cs="Times New Roman"/>
                <w:sz w:val="18"/>
                <w:szCs w:val="18"/>
              </w:rPr>
              <w:lastRenderedPageBreak/>
              <w:t>查进行确定。</w:t>
            </w:r>
          </w:p>
        </w:tc>
      </w:tr>
      <w:tr w:rsidR="00403CD6">
        <w:trPr>
          <w:trHeight w:val="284"/>
        </w:trPr>
        <w:tc>
          <w:tcPr>
            <w:tcW w:w="77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lastRenderedPageBreak/>
              <w:t>晨鸣文化广场</w:t>
            </w:r>
          </w:p>
        </w:tc>
        <w:tc>
          <w:tcPr>
            <w:tcW w:w="45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1,172,180,611.42</w:t>
            </w:r>
          </w:p>
        </w:tc>
        <w:tc>
          <w:tcPr>
            <w:tcW w:w="62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1,150,173,129.00</w:t>
            </w:r>
          </w:p>
        </w:tc>
        <w:tc>
          <w:tcPr>
            <w:tcW w:w="50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22,007,482.42</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附近商业平均交易价格</w:t>
            </w:r>
          </w:p>
        </w:tc>
        <w:tc>
          <w:tcPr>
            <w:tcW w:w="122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办公平均售价</w:t>
            </w:r>
            <w:r>
              <w:rPr>
                <w:rFonts w:ascii="Times New Roman" w:eastAsia="宋体" w:hAnsi="Times New Roman" w:cs="Times New Roman"/>
                <w:sz w:val="18"/>
                <w:szCs w:val="18"/>
              </w:rPr>
              <w:t>3.5</w:t>
            </w:r>
            <w:r>
              <w:rPr>
                <w:rFonts w:ascii="Times New Roman" w:eastAsia="宋体" w:hAnsi="Times New Roman" w:cs="Times New Roman"/>
                <w:sz w:val="18"/>
                <w:szCs w:val="18"/>
              </w:rPr>
              <w:t>万</w:t>
            </w:r>
            <w:r>
              <w:rPr>
                <w:rFonts w:ascii="Times New Roman" w:eastAsia="宋体" w:hAnsi="Times New Roman" w:cs="Times New Roman"/>
                <w:sz w:val="18"/>
                <w:szCs w:val="18"/>
              </w:rPr>
              <w:t>/</w:t>
            </w:r>
            <w:r>
              <w:rPr>
                <w:rFonts w:ascii="Times New Roman" w:eastAsia="宋体" w:hAnsi="Times New Roman" w:cs="Times New Roman"/>
                <w:sz w:val="18"/>
                <w:szCs w:val="18"/>
              </w:rPr>
              <w:t>平；商业平均售价</w:t>
            </w:r>
            <w:r>
              <w:rPr>
                <w:rFonts w:ascii="Times New Roman" w:eastAsia="宋体" w:hAnsi="Times New Roman" w:cs="Times New Roman"/>
                <w:sz w:val="18"/>
                <w:szCs w:val="18"/>
              </w:rPr>
              <w:t>5</w:t>
            </w:r>
            <w:r>
              <w:rPr>
                <w:rFonts w:ascii="Times New Roman" w:eastAsia="宋体" w:hAnsi="Times New Roman" w:cs="Times New Roman"/>
                <w:sz w:val="18"/>
                <w:szCs w:val="18"/>
              </w:rPr>
              <w:t>万</w:t>
            </w:r>
            <w:r>
              <w:rPr>
                <w:rFonts w:ascii="Times New Roman" w:eastAsia="宋体" w:hAnsi="Times New Roman" w:cs="Times New Roman"/>
                <w:sz w:val="18"/>
                <w:szCs w:val="18"/>
              </w:rPr>
              <w:t>/</w:t>
            </w:r>
            <w:r>
              <w:rPr>
                <w:rFonts w:ascii="Times New Roman" w:eastAsia="宋体" w:hAnsi="Times New Roman" w:cs="Times New Roman"/>
                <w:sz w:val="18"/>
                <w:szCs w:val="18"/>
              </w:rPr>
              <w:t>平；车位平均</w:t>
            </w:r>
            <w:r>
              <w:rPr>
                <w:rFonts w:ascii="Times New Roman" w:eastAsia="宋体" w:hAnsi="Times New Roman" w:cs="Times New Roman"/>
                <w:sz w:val="18"/>
                <w:szCs w:val="18"/>
              </w:rPr>
              <w:t>26</w:t>
            </w:r>
            <w:r>
              <w:rPr>
                <w:rFonts w:ascii="Times New Roman" w:eastAsia="宋体" w:hAnsi="Times New Roman" w:cs="Times New Roman"/>
                <w:sz w:val="18"/>
                <w:szCs w:val="18"/>
              </w:rPr>
              <w:t>万</w:t>
            </w:r>
            <w:r>
              <w:rPr>
                <w:rFonts w:ascii="Times New Roman" w:eastAsia="宋体" w:hAnsi="Times New Roman" w:cs="Times New Roman"/>
                <w:sz w:val="18"/>
                <w:szCs w:val="18"/>
              </w:rPr>
              <w:t>/</w:t>
            </w:r>
            <w:proofErr w:type="gramStart"/>
            <w:r>
              <w:rPr>
                <w:rFonts w:ascii="Times New Roman" w:eastAsia="宋体" w:hAnsi="Times New Roman" w:cs="Times New Roman"/>
                <w:sz w:val="18"/>
                <w:szCs w:val="18"/>
              </w:rPr>
              <w:t>个</w:t>
            </w:r>
            <w:proofErr w:type="gramEnd"/>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772"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hint="eastAsia"/>
                <w:sz w:val="18"/>
                <w:szCs w:val="18"/>
              </w:rPr>
              <w:t>机器设备</w:t>
            </w:r>
          </w:p>
        </w:tc>
        <w:tc>
          <w:tcPr>
            <w:tcW w:w="456"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hAnsi="Times New Roman" w:cs="Times New Roman"/>
                <w:sz w:val="18"/>
                <w:szCs w:val="18"/>
              </w:rPr>
              <w:t>260,000,000.00</w:t>
            </w:r>
          </w:p>
        </w:tc>
        <w:tc>
          <w:tcPr>
            <w:tcW w:w="623"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hAnsi="Times New Roman" w:cs="Times New Roman"/>
                <w:color w:val="000000"/>
                <w:sz w:val="18"/>
                <w:szCs w:val="18"/>
              </w:rPr>
              <w:t>228,471,088.00</w:t>
            </w:r>
          </w:p>
        </w:tc>
        <w:tc>
          <w:tcPr>
            <w:tcW w:w="505"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hAnsi="Times New Roman" w:cs="Times New Roman"/>
                <w:color w:val="000000"/>
                <w:sz w:val="18"/>
                <w:szCs w:val="18"/>
              </w:rPr>
              <w:t>31,528,912.00</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sz w:val="18"/>
                <w:szCs w:val="18"/>
              </w:rPr>
              <w:t>评估</w:t>
            </w:r>
          </w:p>
        </w:tc>
        <w:tc>
          <w:tcPr>
            <w:tcW w:w="122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sz w:val="18"/>
                <w:szCs w:val="18"/>
              </w:rPr>
              <w:t>公允价值</w:t>
            </w:r>
            <w:r>
              <w:rPr>
                <w:rFonts w:ascii="Times New Roman" w:hAnsi="Times New Roman" w:cs="Times New Roman"/>
                <w:sz w:val="18"/>
                <w:szCs w:val="18"/>
              </w:rPr>
              <w:t>-</w:t>
            </w:r>
            <w:r>
              <w:rPr>
                <w:rFonts w:ascii="Times New Roman" w:hAnsi="Times New Roman" w:cs="Times New Roman" w:hint="eastAsia"/>
                <w:sz w:val="18"/>
                <w:szCs w:val="18"/>
              </w:rPr>
              <w:t>处置费用。处置费用包括销售费用（</w:t>
            </w:r>
            <w:r>
              <w:rPr>
                <w:rFonts w:ascii="Times New Roman" w:hAnsi="Times New Roman" w:cs="Times New Roman"/>
                <w:sz w:val="18"/>
                <w:szCs w:val="18"/>
              </w:rPr>
              <w:t>0.5%</w:t>
            </w:r>
            <w:r>
              <w:rPr>
                <w:rFonts w:ascii="Times New Roman" w:hAnsi="Times New Roman" w:cs="Times New Roman" w:hint="eastAsia"/>
                <w:sz w:val="18"/>
                <w:szCs w:val="18"/>
              </w:rPr>
              <w:t>）、拆除费用（</w:t>
            </w:r>
            <w:r>
              <w:rPr>
                <w:rFonts w:ascii="Times New Roman" w:hAnsi="Times New Roman" w:cs="Times New Roman"/>
                <w:sz w:val="18"/>
                <w:szCs w:val="18"/>
              </w:rPr>
              <w:t>2.5%</w:t>
            </w:r>
            <w:r>
              <w:rPr>
                <w:rFonts w:ascii="Times New Roman" w:hAnsi="Times New Roman" w:cs="Times New Roman" w:hint="eastAsia"/>
                <w:sz w:val="18"/>
                <w:szCs w:val="18"/>
              </w:rPr>
              <w:t>）、相关税费（</w:t>
            </w:r>
            <w:r>
              <w:rPr>
                <w:rFonts w:ascii="Times New Roman" w:hAnsi="Times New Roman" w:cs="Times New Roman"/>
                <w:sz w:val="18"/>
                <w:szCs w:val="18"/>
              </w:rPr>
              <w:t>1.59%</w:t>
            </w:r>
            <w:r>
              <w:rPr>
                <w:rFonts w:ascii="Times New Roman" w:hAnsi="Times New Roman" w:cs="Times New Roman" w:hint="eastAsia"/>
                <w:sz w:val="18"/>
                <w:szCs w:val="18"/>
              </w:rPr>
              <w:t>）等为使资产达到可销售状态所发生的直接费用等</w:t>
            </w:r>
          </w:p>
        </w:tc>
        <w:tc>
          <w:tcPr>
            <w:tcW w:w="62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hint="eastAsia"/>
                <w:sz w:val="18"/>
                <w:szCs w:val="18"/>
              </w:rPr>
              <w:t>根据市场调查进行确定。</w:t>
            </w:r>
          </w:p>
        </w:tc>
      </w:tr>
      <w:tr w:rsidR="00403CD6">
        <w:trPr>
          <w:trHeight w:val="284"/>
        </w:trPr>
        <w:tc>
          <w:tcPr>
            <w:tcW w:w="77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45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2,460,431,515.71</w:t>
            </w:r>
          </w:p>
        </w:tc>
        <w:tc>
          <w:tcPr>
            <w:tcW w:w="62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2,391,404,417.</w:t>
            </w:r>
            <w:r>
              <w:rPr>
                <w:rFonts w:ascii="Times New Roman" w:hAnsi="Times New Roman" w:cs="Times New Roman" w:hint="eastAsia"/>
                <w:color w:val="000000"/>
                <w:sz w:val="18"/>
                <w:szCs w:val="18"/>
              </w:rPr>
              <w:t>79</w:t>
            </w:r>
          </w:p>
        </w:tc>
        <w:tc>
          <w:tcPr>
            <w:tcW w:w="50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69,027,097.92</w:t>
            </w:r>
          </w:p>
        </w:tc>
        <w:tc>
          <w:tcPr>
            <w:tcW w:w="792" w:type="pct"/>
            <w:shd w:val="clear" w:color="auto" w:fill="D3D3D3"/>
            <w:vAlign w:val="center"/>
          </w:tcPr>
          <w:p w:rsidR="00403CD6" w:rsidRDefault="00403CD6">
            <w:pPr>
              <w:rPr>
                <w:rFonts w:ascii="Times New Roman" w:hAnsi="Times New Roman" w:cs="Times New Roman"/>
              </w:rPr>
            </w:pPr>
          </w:p>
        </w:tc>
        <w:tc>
          <w:tcPr>
            <w:tcW w:w="1222" w:type="pct"/>
            <w:shd w:val="clear" w:color="auto" w:fill="D3D3D3"/>
            <w:vAlign w:val="center"/>
          </w:tcPr>
          <w:p w:rsidR="00403CD6" w:rsidRDefault="00403CD6">
            <w:pPr>
              <w:rPr>
                <w:rFonts w:ascii="Times New Roman" w:hAnsi="Times New Roman" w:cs="Times New Roman"/>
              </w:rPr>
            </w:pPr>
          </w:p>
        </w:tc>
        <w:tc>
          <w:tcPr>
            <w:tcW w:w="629"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16、在建工程</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在建工程</w:t>
            </w:r>
          </w:p>
        </w:tc>
        <w:tc>
          <w:tcPr>
            <w:tcW w:w="3285"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586,611,718.04</w:t>
            </w:r>
          </w:p>
        </w:tc>
        <w:tc>
          <w:tcPr>
            <w:tcW w:w="3283"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852,139,418.48</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工程物资</w:t>
            </w:r>
          </w:p>
        </w:tc>
        <w:tc>
          <w:tcPr>
            <w:tcW w:w="3285"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7,226,885.83</w:t>
            </w:r>
          </w:p>
        </w:tc>
        <w:tc>
          <w:tcPr>
            <w:tcW w:w="3283"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7,478,546.68</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285"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593,838,603.87</w:t>
            </w:r>
          </w:p>
        </w:tc>
        <w:tc>
          <w:tcPr>
            <w:tcW w:w="3283"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859,617,965.16</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在建工程情况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6"/>
        <w:gridCol w:w="1438"/>
        <w:gridCol w:w="1363"/>
        <w:gridCol w:w="1388"/>
        <w:gridCol w:w="1387"/>
        <w:gridCol w:w="1269"/>
        <w:gridCol w:w="1342"/>
      </w:tblGrid>
      <w:tr w:rsidR="00403CD6">
        <w:trPr>
          <w:trHeight w:val="284"/>
        </w:trPr>
        <w:tc>
          <w:tcPr>
            <w:tcW w:w="84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124"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029"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845" w:type="pct"/>
            <w:vMerge/>
            <w:vAlign w:val="center"/>
          </w:tcPr>
          <w:p w:rsidR="00403CD6" w:rsidRDefault="00403CD6">
            <w:pPr>
              <w:widowControl/>
              <w:rPr>
                <w:rFonts w:ascii="Times New Roman" w:eastAsia="宋体" w:hAnsi="Times New Roman" w:cs="Times New Roman"/>
                <w:sz w:val="18"/>
                <w:szCs w:val="18"/>
              </w:rPr>
            </w:pPr>
          </w:p>
        </w:tc>
        <w:tc>
          <w:tcPr>
            <w:tcW w:w="7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0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0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4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68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845"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color w:val="000000"/>
                <w:sz w:val="18"/>
                <w:szCs w:val="18"/>
              </w:rPr>
              <w:t>武汉</w:t>
            </w:r>
            <w:r>
              <w:rPr>
                <w:rFonts w:ascii="Times New Roman" w:hAnsi="Times New Roman" w:cs="Times New Roman"/>
                <w:color w:val="000000"/>
                <w:sz w:val="18"/>
                <w:szCs w:val="18"/>
              </w:rPr>
              <w:t>4800</w:t>
            </w:r>
            <w:r>
              <w:rPr>
                <w:rFonts w:ascii="Times New Roman" w:hAnsi="Times New Roman" w:cs="Times New Roman"/>
                <w:color w:val="000000"/>
                <w:sz w:val="18"/>
                <w:szCs w:val="18"/>
              </w:rPr>
              <w:t>纸机搬迁项目（湛江</w:t>
            </w:r>
            <w:r>
              <w:rPr>
                <w:rFonts w:ascii="Times New Roman" w:hAnsi="Times New Roman" w:cs="Times New Roman" w:hint="eastAsia"/>
                <w:color w:val="000000"/>
                <w:sz w:val="18"/>
                <w:szCs w:val="18"/>
              </w:rPr>
              <w:t>晨鸣</w:t>
            </w:r>
            <w:r>
              <w:rPr>
                <w:rFonts w:ascii="Times New Roman" w:hAnsi="Times New Roman" w:cs="Times New Roman"/>
                <w:color w:val="000000"/>
                <w:sz w:val="18"/>
                <w:szCs w:val="18"/>
              </w:rPr>
              <w:t>）</w:t>
            </w:r>
          </w:p>
        </w:tc>
        <w:tc>
          <w:tcPr>
            <w:tcW w:w="143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549,063,751.76</w:t>
            </w:r>
          </w:p>
        </w:tc>
        <w:tc>
          <w:tcPr>
            <w:tcW w:w="1363"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86,712,411.44</w:t>
            </w:r>
          </w:p>
        </w:tc>
        <w:tc>
          <w:tcPr>
            <w:tcW w:w="138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462,351,340.32</w:t>
            </w:r>
          </w:p>
        </w:tc>
        <w:tc>
          <w:tcPr>
            <w:tcW w:w="1388"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533,417,722.83</w:t>
            </w:r>
          </w:p>
        </w:tc>
        <w:tc>
          <w:tcPr>
            <w:tcW w:w="127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 xml:space="preserve">　</w:t>
            </w:r>
          </w:p>
        </w:tc>
        <w:tc>
          <w:tcPr>
            <w:tcW w:w="134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533,417,722.83</w:t>
            </w:r>
          </w:p>
        </w:tc>
      </w:tr>
      <w:tr w:rsidR="00403CD6">
        <w:trPr>
          <w:trHeight w:val="284"/>
        </w:trPr>
        <w:tc>
          <w:tcPr>
            <w:tcW w:w="845"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color w:val="000000"/>
                <w:sz w:val="18"/>
                <w:szCs w:val="18"/>
              </w:rPr>
              <w:t>技改项目</w:t>
            </w:r>
          </w:p>
        </w:tc>
        <w:tc>
          <w:tcPr>
            <w:tcW w:w="143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129,380,245.56</w:t>
            </w:r>
          </w:p>
        </w:tc>
        <w:tc>
          <w:tcPr>
            <w:tcW w:w="1363"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11,645,893.36</w:t>
            </w:r>
          </w:p>
        </w:tc>
        <w:tc>
          <w:tcPr>
            <w:tcW w:w="138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117,734,352.20</w:t>
            </w:r>
          </w:p>
        </w:tc>
        <w:tc>
          <w:tcPr>
            <w:tcW w:w="1388"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130,674,807.30</w:t>
            </w:r>
          </w:p>
        </w:tc>
        <w:tc>
          <w:tcPr>
            <w:tcW w:w="127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662,764.60</w:t>
            </w:r>
          </w:p>
        </w:tc>
        <w:tc>
          <w:tcPr>
            <w:tcW w:w="134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130,012,042.70</w:t>
            </w:r>
          </w:p>
        </w:tc>
      </w:tr>
      <w:tr w:rsidR="00403CD6">
        <w:trPr>
          <w:trHeight w:val="284"/>
        </w:trPr>
        <w:tc>
          <w:tcPr>
            <w:tcW w:w="845"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color w:val="000000"/>
                <w:sz w:val="18"/>
                <w:szCs w:val="18"/>
              </w:rPr>
              <w:t>林浆纸一体化项目（黄冈浆纸）</w:t>
            </w:r>
          </w:p>
        </w:tc>
        <w:tc>
          <w:tcPr>
            <w:tcW w:w="1437"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63"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87"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88"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156,604,031.76</w:t>
            </w:r>
          </w:p>
        </w:tc>
        <w:tc>
          <w:tcPr>
            <w:tcW w:w="1271"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4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156,604,031.76</w:t>
            </w:r>
          </w:p>
        </w:tc>
      </w:tr>
      <w:tr w:rsidR="00403CD6">
        <w:trPr>
          <w:trHeight w:val="284"/>
        </w:trPr>
        <w:tc>
          <w:tcPr>
            <w:tcW w:w="845"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color w:val="000000"/>
                <w:sz w:val="18"/>
                <w:szCs w:val="18"/>
              </w:rPr>
              <w:t>30</w:t>
            </w:r>
            <w:r>
              <w:rPr>
                <w:rFonts w:ascii="Times New Roman" w:hAnsi="Times New Roman" w:cs="Times New Roman"/>
                <w:color w:val="000000"/>
                <w:sz w:val="18"/>
                <w:szCs w:val="18"/>
              </w:rPr>
              <w:t>万吨针叶</w:t>
            </w:r>
            <w:proofErr w:type="gramStart"/>
            <w:r>
              <w:rPr>
                <w:rFonts w:ascii="Times New Roman" w:hAnsi="Times New Roman" w:cs="Times New Roman"/>
                <w:color w:val="000000"/>
                <w:sz w:val="18"/>
                <w:szCs w:val="18"/>
              </w:rPr>
              <w:t>浆</w:t>
            </w:r>
            <w:proofErr w:type="gramEnd"/>
            <w:r>
              <w:rPr>
                <w:rFonts w:ascii="Times New Roman" w:hAnsi="Times New Roman" w:cs="Times New Roman"/>
                <w:color w:val="000000"/>
                <w:sz w:val="18"/>
                <w:szCs w:val="18"/>
              </w:rPr>
              <w:t>项目（山东晨鸣）</w:t>
            </w:r>
          </w:p>
        </w:tc>
        <w:tc>
          <w:tcPr>
            <w:tcW w:w="143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12,703,321.77</w:t>
            </w:r>
          </w:p>
        </w:tc>
        <w:tc>
          <w:tcPr>
            <w:tcW w:w="1363"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6,177,296.25</w:t>
            </w:r>
          </w:p>
        </w:tc>
        <w:tc>
          <w:tcPr>
            <w:tcW w:w="138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6,526,025.52</w:t>
            </w:r>
          </w:p>
        </w:tc>
        <w:tc>
          <w:tcPr>
            <w:tcW w:w="1388"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8,941,631.08</w:t>
            </w:r>
          </w:p>
        </w:tc>
        <w:tc>
          <w:tcPr>
            <w:tcW w:w="1271"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4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8,941,631.08</w:t>
            </w:r>
          </w:p>
        </w:tc>
      </w:tr>
      <w:tr w:rsidR="00403CD6">
        <w:trPr>
          <w:trHeight w:val="284"/>
        </w:trPr>
        <w:tc>
          <w:tcPr>
            <w:tcW w:w="845"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color w:val="000000"/>
                <w:sz w:val="18"/>
                <w:szCs w:val="18"/>
              </w:rPr>
              <w:t>其他</w:t>
            </w:r>
          </w:p>
        </w:tc>
        <w:tc>
          <w:tcPr>
            <w:tcW w:w="1437"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23,648,105.73</w:t>
            </w:r>
          </w:p>
        </w:tc>
        <w:tc>
          <w:tcPr>
            <w:tcW w:w="1363"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23,648,105.73</w:t>
            </w:r>
          </w:p>
        </w:tc>
        <w:tc>
          <w:tcPr>
            <w:tcW w:w="1387" w:type="dxa"/>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1388"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44,302,661.87</w:t>
            </w:r>
          </w:p>
        </w:tc>
        <w:tc>
          <w:tcPr>
            <w:tcW w:w="127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21,138,671.76</w:t>
            </w:r>
          </w:p>
        </w:tc>
        <w:tc>
          <w:tcPr>
            <w:tcW w:w="1341" w:type="dxa"/>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sz w:val="18"/>
                <w:szCs w:val="18"/>
              </w:rPr>
              <w:t>23,163,990.11</w:t>
            </w:r>
          </w:p>
        </w:tc>
      </w:tr>
      <w:tr w:rsidR="00403CD6">
        <w:trPr>
          <w:trHeight w:val="284"/>
        </w:trPr>
        <w:tc>
          <w:tcPr>
            <w:tcW w:w="8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437"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仿宋_GB2312" w:hAnsi="Times New Roman" w:cs="Times New Roman"/>
                <w:color w:val="000000"/>
                <w:sz w:val="18"/>
                <w:szCs w:val="18"/>
              </w:rPr>
              <w:t>714,795,424.82</w:t>
            </w:r>
          </w:p>
        </w:tc>
        <w:tc>
          <w:tcPr>
            <w:tcW w:w="1363"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仿宋_GB2312" w:hAnsi="Times New Roman" w:cs="Times New Roman"/>
                <w:color w:val="000000"/>
                <w:sz w:val="18"/>
                <w:szCs w:val="18"/>
              </w:rPr>
              <w:t>128,183,706.78</w:t>
            </w:r>
          </w:p>
        </w:tc>
        <w:tc>
          <w:tcPr>
            <w:tcW w:w="1387"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仿宋_GB2312" w:hAnsi="Times New Roman" w:cs="Times New Roman"/>
                <w:color w:val="000000"/>
                <w:sz w:val="18"/>
                <w:szCs w:val="18"/>
              </w:rPr>
              <w:t>586,611,718.04</w:t>
            </w:r>
          </w:p>
        </w:tc>
        <w:tc>
          <w:tcPr>
            <w:tcW w:w="1388"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等线" w:hAnsi="Times New Roman" w:cs="Times New Roman"/>
                <w:sz w:val="18"/>
                <w:szCs w:val="18"/>
              </w:rPr>
              <w:t>873,940,854.84</w:t>
            </w:r>
          </w:p>
        </w:tc>
        <w:tc>
          <w:tcPr>
            <w:tcW w:w="1271"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等线" w:hAnsi="Times New Roman" w:cs="Times New Roman"/>
                <w:sz w:val="18"/>
                <w:szCs w:val="18"/>
              </w:rPr>
              <w:t>21,801,436.36</w:t>
            </w:r>
          </w:p>
        </w:tc>
        <w:tc>
          <w:tcPr>
            <w:tcW w:w="1341" w:type="dxa"/>
            <w:vAlign w:val="center"/>
          </w:tcPr>
          <w:p w:rsidR="00403CD6" w:rsidRDefault="00E91A59">
            <w:pPr>
              <w:autoSpaceDE w:val="0"/>
              <w:autoSpaceDN w:val="0"/>
              <w:adjustRightInd w:val="0"/>
              <w:snapToGrid w:val="0"/>
              <w:jc w:val="right"/>
              <w:rPr>
                <w:rFonts w:ascii="Times New Roman" w:eastAsia="宋体" w:hAnsi="Times New Roman" w:cs="Times New Roman"/>
                <w:sz w:val="18"/>
                <w:szCs w:val="18"/>
              </w:rPr>
            </w:pPr>
            <w:r>
              <w:rPr>
                <w:rFonts w:ascii="Times New Roman" w:eastAsia="等线" w:hAnsi="Times New Roman" w:cs="Times New Roman"/>
                <w:sz w:val="18"/>
                <w:szCs w:val="18"/>
              </w:rPr>
              <w:t>852,139,418.48</w:t>
            </w:r>
          </w:p>
        </w:tc>
      </w:tr>
    </w:tbl>
    <w:p w:rsidR="00403CD6" w:rsidRDefault="00E91A59">
      <w:pPr>
        <w:keepNext/>
        <w:keepLines/>
        <w:spacing w:before="300" w:after="300" w:line="280" w:lineRule="exact"/>
        <w:outlineLvl w:val="3"/>
        <w:rPr>
          <w:rFonts w:ascii="宋体" w:eastAsia="宋体" w:hAnsi="宋体" w:cs="宋体"/>
          <w:b/>
          <w:bCs/>
          <w:szCs w:val="21"/>
        </w:rPr>
      </w:pPr>
      <w:bookmarkStart w:id="69" w:name="_Toc989281"/>
      <w:r>
        <w:rPr>
          <w:rFonts w:ascii="宋体" w:eastAsia="宋体" w:hAnsi="宋体" w:cs="宋体" w:hint="eastAsia"/>
          <w:b/>
          <w:bCs/>
          <w:szCs w:val="21"/>
        </w:rPr>
        <w:t>（2） 重要在建工程项目本期变动情况</w:t>
      </w:r>
      <w:bookmarkEnd w:id="69"/>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036"/>
        <w:gridCol w:w="691"/>
        <w:gridCol w:w="710"/>
        <w:gridCol w:w="710"/>
        <w:gridCol w:w="849"/>
        <w:gridCol w:w="710"/>
        <w:gridCol w:w="710"/>
        <w:gridCol w:w="849"/>
        <w:gridCol w:w="568"/>
        <w:gridCol w:w="708"/>
        <w:gridCol w:w="851"/>
        <w:gridCol w:w="566"/>
        <w:gridCol w:w="735"/>
      </w:tblGrid>
      <w:tr w:rsidR="00403CD6">
        <w:trPr>
          <w:trHeight w:val="284"/>
        </w:trPr>
        <w:tc>
          <w:tcPr>
            <w:tcW w:w="53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项目名称</w:t>
            </w:r>
          </w:p>
        </w:tc>
        <w:tc>
          <w:tcPr>
            <w:tcW w:w="35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预算数</w:t>
            </w:r>
          </w:p>
        </w:tc>
        <w:tc>
          <w:tcPr>
            <w:tcW w:w="3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3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本期增加金额</w:t>
            </w:r>
          </w:p>
        </w:tc>
        <w:tc>
          <w:tcPr>
            <w:tcW w:w="4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本期转入固定资产金额</w:t>
            </w:r>
          </w:p>
        </w:tc>
        <w:tc>
          <w:tcPr>
            <w:tcW w:w="3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本期其他减少金额</w:t>
            </w:r>
          </w:p>
        </w:tc>
        <w:tc>
          <w:tcPr>
            <w:tcW w:w="3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4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工程累计投入占预算比例</w:t>
            </w:r>
            <w:r>
              <w:rPr>
                <w:rFonts w:ascii="Times New Roman" w:eastAsia="宋体" w:hAnsi="Times New Roman" w:cs="Times New Roman" w:hint="eastAsia"/>
                <w:sz w:val="18"/>
                <w:szCs w:val="18"/>
              </w:rPr>
              <w:t>（</w:t>
            </w:r>
            <w:r>
              <w:rPr>
                <w:rFonts w:ascii="Times New Roman" w:eastAsia="宋体" w:hAnsi="Times New Roman" w:cs="Times New Roman"/>
                <w:sz w:val="18"/>
                <w:szCs w:val="18"/>
              </w:rPr>
              <w:t>%</w:t>
            </w:r>
            <w:r>
              <w:rPr>
                <w:rFonts w:ascii="Times New Roman" w:eastAsia="宋体" w:hAnsi="Times New Roman" w:cs="Times New Roman" w:hint="eastAsia"/>
                <w:sz w:val="18"/>
                <w:szCs w:val="18"/>
              </w:rPr>
              <w:t>）</w:t>
            </w:r>
          </w:p>
        </w:tc>
        <w:tc>
          <w:tcPr>
            <w:tcW w:w="2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工程进度</w:t>
            </w:r>
            <w:r>
              <w:rPr>
                <w:rFonts w:ascii="Times New Roman" w:eastAsia="宋体" w:hAnsi="Times New Roman" w:cs="Times New Roman" w:hint="eastAsia"/>
                <w:sz w:val="18"/>
                <w:szCs w:val="18"/>
              </w:rPr>
              <w:t>（</w:t>
            </w:r>
            <w:r>
              <w:rPr>
                <w:rFonts w:ascii="Times New Roman" w:eastAsia="宋体" w:hAnsi="Times New Roman" w:cs="Times New Roman"/>
                <w:sz w:val="18"/>
                <w:szCs w:val="18"/>
              </w:rPr>
              <w:t>%</w:t>
            </w:r>
            <w:r>
              <w:rPr>
                <w:rFonts w:ascii="Times New Roman" w:eastAsia="宋体" w:hAnsi="Times New Roman" w:cs="Times New Roman" w:hint="eastAsia"/>
                <w:sz w:val="18"/>
                <w:szCs w:val="18"/>
              </w:rPr>
              <w:t>）</w:t>
            </w:r>
          </w:p>
        </w:tc>
        <w:tc>
          <w:tcPr>
            <w:tcW w:w="3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利息资本化累计金额</w:t>
            </w:r>
          </w:p>
        </w:tc>
        <w:tc>
          <w:tcPr>
            <w:tcW w:w="43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其中：本期利息资本</w:t>
            </w:r>
            <w:proofErr w:type="gramStart"/>
            <w:r>
              <w:rPr>
                <w:rFonts w:ascii="Times New Roman" w:eastAsia="宋体" w:hAnsi="Times New Roman" w:cs="Times New Roman"/>
                <w:sz w:val="18"/>
                <w:szCs w:val="18"/>
              </w:rPr>
              <w:t>化金额</w:t>
            </w:r>
            <w:proofErr w:type="gramEnd"/>
          </w:p>
        </w:tc>
        <w:tc>
          <w:tcPr>
            <w:tcW w:w="2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本期利息资本化率</w:t>
            </w:r>
          </w:p>
        </w:tc>
        <w:tc>
          <w:tcPr>
            <w:tcW w:w="3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资金来源</w:t>
            </w:r>
          </w:p>
        </w:tc>
      </w:tr>
      <w:tr w:rsidR="00403CD6">
        <w:trPr>
          <w:trHeight w:val="284"/>
        </w:trPr>
        <w:tc>
          <w:tcPr>
            <w:tcW w:w="534"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武汉</w:t>
            </w:r>
            <w:r>
              <w:rPr>
                <w:rFonts w:ascii="Times New Roman" w:hAnsi="Times New Roman" w:cs="Times New Roman"/>
                <w:sz w:val="18"/>
                <w:szCs w:val="18"/>
              </w:rPr>
              <w:t>4800</w:t>
            </w:r>
            <w:r>
              <w:rPr>
                <w:rFonts w:ascii="Times New Roman" w:hAnsi="Times New Roman" w:cs="Times New Roman"/>
                <w:sz w:val="18"/>
                <w:szCs w:val="18"/>
              </w:rPr>
              <w:t>纸机搬迁项目（湛江</w:t>
            </w:r>
            <w:r>
              <w:rPr>
                <w:rFonts w:ascii="Times New Roman" w:hAnsi="Times New Roman" w:cs="Times New Roman" w:hint="eastAsia"/>
                <w:sz w:val="18"/>
                <w:szCs w:val="18"/>
              </w:rPr>
              <w:t>晨鸣</w:t>
            </w:r>
            <w:r>
              <w:rPr>
                <w:rFonts w:ascii="Times New Roman" w:hAnsi="Times New Roman" w:cs="Times New Roman"/>
                <w:sz w:val="18"/>
                <w:szCs w:val="18"/>
              </w:rPr>
              <w:t>）</w:t>
            </w:r>
          </w:p>
        </w:tc>
        <w:tc>
          <w:tcPr>
            <w:tcW w:w="35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800,000,000.00</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533,417,722.83</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15,646,028.93</w:t>
            </w:r>
          </w:p>
        </w:tc>
        <w:tc>
          <w:tcPr>
            <w:tcW w:w="438"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549,063,751.76</w:t>
            </w:r>
          </w:p>
        </w:tc>
        <w:tc>
          <w:tcPr>
            <w:tcW w:w="43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68.63</w:t>
            </w:r>
          </w:p>
        </w:tc>
        <w:tc>
          <w:tcPr>
            <w:tcW w:w="29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71.00</w:t>
            </w:r>
          </w:p>
        </w:tc>
        <w:tc>
          <w:tcPr>
            <w:tcW w:w="365" w:type="pct"/>
            <w:vAlign w:val="center"/>
          </w:tcPr>
          <w:p w:rsidR="00403CD6" w:rsidRDefault="00403CD6">
            <w:pPr>
              <w:spacing w:line="240" w:lineRule="exact"/>
              <w:jc w:val="right"/>
              <w:rPr>
                <w:rFonts w:ascii="Times New Roman" w:eastAsia="宋体" w:hAnsi="Times New Roman" w:cs="Times New Roman"/>
                <w:sz w:val="18"/>
                <w:szCs w:val="18"/>
              </w:rPr>
            </w:pPr>
          </w:p>
        </w:tc>
        <w:tc>
          <w:tcPr>
            <w:tcW w:w="439" w:type="pct"/>
            <w:vAlign w:val="center"/>
          </w:tcPr>
          <w:p w:rsidR="00403CD6" w:rsidRDefault="00403CD6">
            <w:pPr>
              <w:spacing w:line="240" w:lineRule="exact"/>
              <w:jc w:val="right"/>
              <w:rPr>
                <w:rFonts w:ascii="Times New Roman" w:eastAsia="宋体" w:hAnsi="Times New Roman" w:cs="Times New Roman"/>
                <w:sz w:val="18"/>
                <w:szCs w:val="18"/>
              </w:rPr>
            </w:pPr>
          </w:p>
        </w:tc>
        <w:tc>
          <w:tcPr>
            <w:tcW w:w="292" w:type="pct"/>
            <w:vAlign w:val="center"/>
          </w:tcPr>
          <w:p w:rsidR="00403CD6" w:rsidRDefault="00403CD6">
            <w:pPr>
              <w:spacing w:line="240" w:lineRule="exact"/>
              <w:jc w:val="right"/>
              <w:rPr>
                <w:rFonts w:ascii="Times New Roman" w:eastAsia="宋体" w:hAnsi="Times New Roman" w:cs="Times New Roman"/>
                <w:sz w:val="18"/>
                <w:szCs w:val="18"/>
              </w:rPr>
            </w:pPr>
          </w:p>
        </w:tc>
        <w:tc>
          <w:tcPr>
            <w:tcW w:w="379"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自有、借款</w:t>
            </w:r>
          </w:p>
        </w:tc>
      </w:tr>
      <w:tr w:rsidR="00403CD6">
        <w:trPr>
          <w:trHeight w:val="284"/>
        </w:trPr>
        <w:tc>
          <w:tcPr>
            <w:tcW w:w="534"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lastRenderedPageBreak/>
              <w:t>30</w:t>
            </w:r>
            <w:r>
              <w:rPr>
                <w:rFonts w:ascii="Times New Roman" w:hAnsi="Times New Roman" w:cs="Times New Roman"/>
                <w:sz w:val="18"/>
                <w:szCs w:val="18"/>
              </w:rPr>
              <w:t>万吨针叶</w:t>
            </w:r>
            <w:proofErr w:type="gramStart"/>
            <w:r>
              <w:rPr>
                <w:rFonts w:ascii="Times New Roman" w:hAnsi="Times New Roman" w:cs="Times New Roman"/>
                <w:sz w:val="18"/>
                <w:szCs w:val="18"/>
              </w:rPr>
              <w:t>浆</w:t>
            </w:r>
            <w:proofErr w:type="gramEnd"/>
            <w:r>
              <w:rPr>
                <w:rFonts w:ascii="Times New Roman" w:hAnsi="Times New Roman" w:cs="Times New Roman"/>
                <w:sz w:val="18"/>
                <w:szCs w:val="18"/>
              </w:rPr>
              <w:t>项目（山东晨鸣）</w:t>
            </w:r>
          </w:p>
        </w:tc>
        <w:tc>
          <w:tcPr>
            <w:tcW w:w="35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1,488,980,000.00</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8,941,631.08</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3,761,690.69</w:t>
            </w:r>
          </w:p>
        </w:tc>
        <w:tc>
          <w:tcPr>
            <w:tcW w:w="438"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12,703,321.77</w:t>
            </w:r>
          </w:p>
        </w:tc>
        <w:tc>
          <w:tcPr>
            <w:tcW w:w="43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0.85</w:t>
            </w:r>
          </w:p>
        </w:tc>
        <w:tc>
          <w:tcPr>
            <w:tcW w:w="29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0.70</w:t>
            </w:r>
          </w:p>
        </w:tc>
        <w:tc>
          <w:tcPr>
            <w:tcW w:w="365" w:type="pct"/>
            <w:vAlign w:val="center"/>
          </w:tcPr>
          <w:p w:rsidR="00403CD6" w:rsidRDefault="00403CD6">
            <w:pPr>
              <w:spacing w:line="240" w:lineRule="exact"/>
              <w:jc w:val="right"/>
              <w:rPr>
                <w:rFonts w:ascii="Times New Roman" w:eastAsia="宋体" w:hAnsi="Times New Roman" w:cs="Times New Roman"/>
                <w:sz w:val="18"/>
                <w:szCs w:val="18"/>
              </w:rPr>
            </w:pPr>
          </w:p>
        </w:tc>
        <w:tc>
          <w:tcPr>
            <w:tcW w:w="439" w:type="pct"/>
            <w:vAlign w:val="center"/>
          </w:tcPr>
          <w:p w:rsidR="00403CD6" w:rsidRDefault="00403CD6">
            <w:pPr>
              <w:spacing w:line="240" w:lineRule="exact"/>
              <w:jc w:val="right"/>
              <w:rPr>
                <w:rFonts w:ascii="Times New Roman" w:eastAsia="宋体" w:hAnsi="Times New Roman" w:cs="Times New Roman"/>
                <w:sz w:val="18"/>
                <w:szCs w:val="18"/>
              </w:rPr>
            </w:pPr>
          </w:p>
        </w:tc>
        <w:tc>
          <w:tcPr>
            <w:tcW w:w="292" w:type="pct"/>
            <w:vAlign w:val="center"/>
          </w:tcPr>
          <w:p w:rsidR="00403CD6" w:rsidRDefault="00403CD6">
            <w:pPr>
              <w:spacing w:line="240" w:lineRule="exact"/>
              <w:jc w:val="right"/>
              <w:rPr>
                <w:rFonts w:ascii="Times New Roman" w:eastAsia="宋体" w:hAnsi="Times New Roman" w:cs="Times New Roman"/>
                <w:sz w:val="18"/>
                <w:szCs w:val="18"/>
              </w:rPr>
            </w:pPr>
          </w:p>
        </w:tc>
        <w:tc>
          <w:tcPr>
            <w:tcW w:w="379"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自有、借款</w:t>
            </w:r>
          </w:p>
        </w:tc>
      </w:tr>
      <w:tr w:rsidR="00403CD6">
        <w:trPr>
          <w:trHeight w:val="284"/>
        </w:trPr>
        <w:tc>
          <w:tcPr>
            <w:tcW w:w="53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5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2,288,980,000.00</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542,359,353.91</w:t>
            </w:r>
          </w:p>
        </w:tc>
        <w:tc>
          <w:tcPr>
            <w:tcW w:w="3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19,407,719.62</w:t>
            </w:r>
          </w:p>
        </w:tc>
        <w:tc>
          <w:tcPr>
            <w:tcW w:w="438"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vAlign w:val="center"/>
          </w:tcPr>
          <w:p w:rsidR="00403CD6" w:rsidRDefault="00403CD6">
            <w:pPr>
              <w:spacing w:line="240" w:lineRule="exact"/>
              <w:jc w:val="right"/>
              <w:rPr>
                <w:rFonts w:ascii="Times New Roman" w:eastAsia="宋体" w:hAnsi="Times New Roman" w:cs="Times New Roman"/>
                <w:sz w:val="18"/>
                <w:szCs w:val="18"/>
              </w:rPr>
            </w:pPr>
          </w:p>
        </w:tc>
        <w:tc>
          <w:tcPr>
            <w:tcW w:w="36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561,767,073.53</w:t>
            </w:r>
          </w:p>
        </w:tc>
        <w:tc>
          <w:tcPr>
            <w:tcW w:w="43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w:t>
            </w:r>
          </w:p>
        </w:tc>
        <w:tc>
          <w:tcPr>
            <w:tcW w:w="29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w:t>
            </w:r>
          </w:p>
        </w:tc>
        <w:tc>
          <w:tcPr>
            <w:tcW w:w="365" w:type="pct"/>
            <w:vAlign w:val="center"/>
          </w:tcPr>
          <w:p w:rsidR="00403CD6" w:rsidRDefault="00403CD6">
            <w:pPr>
              <w:spacing w:line="240" w:lineRule="exact"/>
              <w:jc w:val="right"/>
              <w:rPr>
                <w:rFonts w:ascii="Times New Roman" w:eastAsia="宋体" w:hAnsi="Times New Roman" w:cs="Times New Roman"/>
                <w:sz w:val="18"/>
                <w:szCs w:val="18"/>
              </w:rPr>
            </w:pPr>
          </w:p>
        </w:tc>
        <w:tc>
          <w:tcPr>
            <w:tcW w:w="439" w:type="pct"/>
            <w:vAlign w:val="center"/>
          </w:tcPr>
          <w:p w:rsidR="00403CD6" w:rsidRDefault="00403CD6">
            <w:pPr>
              <w:spacing w:line="240" w:lineRule="exact"/>
              <w:jc w:val="right"/>
              <w:rPr>
                <w:rFonts w:ascii="Times New Roman" w:eastAsia="宋体" w:hAnsi="Times New Roman" w:cs="Times New Roman"/>
                <w:sz w:val="18"/>
                <w:szCs w:val="18"/>
              </w:rPr>
            </w:pPr>
          </w:p>
        </w:tc>
        <w:tc>
          <w:tcPr>
            <w:tcW w:w="292" w:type="pct"/>
            <w:vAlign w:val="center"/>
          </w:tcPr>
          <w:p w:rsidR="00403CD6" w:rsidRDefault="00403CD6">
            <w:pPr>
              <w:spacing w:line="240" w:lineRule="exact"/>
              <w:jc w:val="right"/>
              <w:rPr>
                <w:rFonts w:ascii="Times New Roman" w:eastAsia="宋体" w:hAnsi="Times New Roman" w:cs="Times New Roman"/>
                <w:sz w:val="18"/>
                <w:szCs w:val="18"/>
              </w:rPr>
            </w:pPr>
          </w:p>
        </w:tc>
        <w:tc>
          <w:tcPr>
            <w:tcW w:w="379" w:type="pct"/>
            <w:shd w:val="clear" w:color="auto" w:fill="D3D3D3"/>
            <w:vAlign w:val="center"/>
          </w:tcPr>
          <w:p w:rsidR="00403CD6" w:rsidRDefault="00403CD6">
            <w:pPr>
              <w:rPr>
                <w:rFonts w:ascii="Times New Roman" w:hAnsi="Times New Roman" w:cs="Times New Roman"/>
              </w:rPr>
            </w:pPr>
          </w:p>
        </w:tc>
      </w:tr>
    </w:tbl>
    <w:p w:rsidR="00403CD6" w:rsidRDefault="00E91A59">
      <w:pPr>
        <w:keepNext/>
        <w:keepLines/>
        <w:spacing w:before="300" w:after="300" w:line="280" w:lineRule="exact"/>
        <w:outlineLvl w:val="3"/>
        <w:rPr>
          <w:rFonts w:ascii="宋体" w:eastAsia="宋体" w:hAnsi="宋体" w:cs="宋体"/>
          <w:b/>
          <w:bCs/>
          <w:szCs w:val="21"/>
        </w:rPr>
      </w:pPr>
      <w:bookmarkStart w:id="70" w:name="_Toc989282"/>
      <w:r>
        <w:rPr>
          <w:rFonts w:ascii="宋体" w:eastAsia="宋体" w:hAnsi="宋体" w:cs="宋体" w:hint="eastAsia"/>
          <w:b/>
          <w:bCs/>
          <w:szCs w:val="21"/>
        </w:rPr>
        <w:t>（3） 本期计提在建工程减值准备情况</w:t>
      </w:r>
      <w:bookmarkEnd w:id="70"/>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9"/>
        <w:gridCol w:w="1324"/>
        <w:gridCol w:w="1508"/>
        <w:gridCol w:w="1141"/>
        <w:gridCol w:w="1411"/>
        <w:gridCol w:w="1240"/>
      </w:tblGrid>
      <w:tr w:rsidR="00403CD6">
        <w:trPr>
          <w:trHeight w:val="284"/>
        </w:trPr>
        <w:tc>
          <w:tcPr>
            <w:tcW w:w="163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67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7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5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71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6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计提原因</w:t>
            </w: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30</w:t>
            </w:r>
            <w:r>
              <w:rPr>
                <w:rFonts w:ascii="Times New Roman" w:hAnsi="Times New Roman" w:cs="Times New Roman"/>
                <w:sz w:val="18"/>
                <w:szCs w:val="18"/>
              </w:rPr>
              <w:t>万吨针叶</w:t>
            </w:r>
            <w:proofErr w:type="gramStart"/>
            <w:r>
              <w:rPr>
                <w:rFonts w:ascii="Times New Roman" w:hAnsi="Times New Roman" w:cs="Times New Roman"/>
                <w:sz w:val="18"/>
                <w:szCs w:val="18"/>
              </w:rPr>
              <w:t>浆</w:t>
            </w:r>
            <w:proofErr w:type="gramEnd"/>
            <w:r>
              <w:rPr>
                <w:rFonts w:ascii="Times New Roman" w:hAnsi="Times New Roman" w:cs="Times New Roman"/>
                <w:sz w:val="18"/>
                <w:szCs w:val="18"/>
              </w:rPr>
              <w:t>项目</w:t>
            </w:r>
            <w:r>
              <w:rPr>
                <w:rFonts w:ascii="Times New Roman" w:hAnsi="Times New Roman" w:cs="Times New Roman" w:hint="eastAsia"/>
                <w:sz w:val="18"/>
                <w:szCs w:val="18"/>
              </w:rPr>
              <w:t>（山东晨鸣）</w:t>
            </w:r>
          </w:p>
        </w:tc>
        <w:tc>
          <w:tcPr>
            <w:tcW w:w="672" w:type="pct"/>
            <w:vAlign w:val="center"/>
          </w:tcPr>
          <w:p w:rsidR="00403CD6" w:rsidRDefault="00403CD6">
            <w:pPr>
              <w:jc w:val="right"/>
              <w:rPr>
                <w:rFonts w:ascii="Times New Roman" w:hAnsi="Times New Roman" w:cs="Times New Roman"/>
                <w:sz w:val="18"/>
                <w:szCs w:val="18"/>
              </w:rPr>
            </w:pPr>
          </w:p>
        </w:tc>
        <w:tc>
          <w:tcPr>
            <w:tcW w:w="76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6,177,296.25</w:t>
            </w: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6,177,296.25</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污水处理厂封闭除臭</w:t>
            </w:r>
            <w:r>
              <w:rPr>
                <w:rFonts w:ascii="Times New Roman" w:hAnsi="Times New Roman" w:cs="Times New Roman" w:hint="eastAsia"/>
                <w:sz w:val="18"/>
                <w:szCs w:val="18"/>
              </w:rPr>
              <w:t>（山东晨鸣）</w:t>
            </w:r>
          </w:p>
        </w:tc>
        <w:tc>
          <w:tcPr>
            <w:tcW w:w="672"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5,061,399.69</w:t>
            </w:r>
          </w:p>
        </w:tc>
        <w:tc>
          <w:tcPr>
            <w:tcW w:w="765" w:type="pct"/>
            <w:vAlign w:val="center"/>
          </w:tcPr>
          <w:p w:rsidR="00403CD6" w:rsidRDefault="00403CD6">
            <w:pPr>
              <w:jc w:val="right"/>
              <w:rPr>
                <w:rFonts w:ascii="Times New Roman" w:hAnsi="Times New Roman" w:cs="Times New Roman"/>
                <w:sz w:val="18"/>
                <w:szCs w:val="18"/>
              </w:rPr>
            </w:pP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5,061,399.69</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武汉</w:t>
            </w:r>
            <w:r>
              <w:rPr>
                <w:rFonts w:ascii="Times New Roman" w:hAnsi="Times New Roman" w:cs="Times New Roman"/>
                <w:sz w:val="18"/>
                <w:szCs w:val="18"/>
              </w:rPr>
              <w:t>4800</w:t>
            </w:r>
            <w:r>
              <w:rPr>
                <w:rFonts w:ascii="Times New Roman" w:hAnsi="Times New Roman" w:cs="Times New Roman"/>
                <w:sz w:val="18"/>
                <w:szCs w:val="18"/>
              </w:rPr>
              <w:t>纸机搬迁项目</w:t>
            </w:r>
            <w:r>
              <w:rPr>
                <w:rFonts w:ascii="Times New Roman" w:hAnsi="Times New Roman" w:cs="Times New Roman" w:hint="eastAsia"/>
                <w:sz w:val="18"/>
                <w:szCs w:val="18"/>
              </w:rPr>
              <w:t>（湛江晨鸣）</w:t>
            </w:r>
          </w:p>
        </w:tc>
        <w:tc>
          <w:tcPr>
            <w:tcW w:w="672" w:type="pct"/>
            <w:vAlign w:val="center"/>
          </w:tcPr>
          <w:p w:rsidR="00403CD6" w:rsidRDefault="00403CD6">
            <w:pPr>
              <w:jc w:val="right"/>
              <w:rPr>
                <w:rFonts w:ascii="Times New Roman" w:hAnsi="Times New Roman" w:cs="Times New Roman"/>
                <w:sz w:val="18"/>
                <w:szCs w:val="18"/>
              </w:rPr>
            </w:pPr>
          </w:p>
        </w:tc>
        <w:tc>
          <w:tcPr>
            <w:tcW w:w="76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86,712,411.44</w:t>
            </w: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86,712,411.44</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水处理自动化改造（吉林晨鸣）</w:t>
            </w:r>
          </w:p>
        </w:tc>
        <w:tc>
          <w:tcPr>
            <w:tcW w:w="672"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662,764.60</w:t>
            </w:r>
          </w:p>
        </w:tc>
        <w:tc>
          <w:tcPr>
            <w:tcW w:w="765" w:type="pct"/>
            <w:vAlign w:val="center"/>
          </w:tcPr>
          <w:p w:rsidR="00403CD6" w:rsidRDefault="00403CD6">
            <w:pPr>
              <w:jc w:val="right"/>
              <w:rPr>
                <w:rFonts w:ascii="Times New Roman" w:hAnsi="Times New Roman" w:cs="Times New Roman"/>
                <w:sz w:val="18"/>
                <w:szCs w:val="18"/>
              </w:rPr>
            </w:pP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662,764.60</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差别化粘胶纤维和纺纱及化学品项目（黄冈浆纸）</w:t>
            </w:r>
          </w:p>
        </w:tc>
        <w:tc>
          <w:tcPr>
            <w:tcW w:w="672"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12,609,724.89</w:t>
            </w:r>
          </w:p>
        </w:tc>
        <w:tc>
          <w:tcPr>
            <w:tcW w:w="765" w:type="pct"/>
            <w:vAlign w:val="center"/>
          </w:tcPr>
          <w:p w:rsidR="00403CD6" w:rsidRDefault="00403CD6">
            <w:pPr>
              <w:jc w:val="right"/>
              <w:rPr>
                <w:rFonts w:ascii="Times New Roman" w:hAnsi="Times New Roman" w:cs="Times New Roman"/>
                <w:sz w:val="18"/>
                <w:szCs w:val="18"/>
              </w:rPr>
            </w:pP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12,609,724.89</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其他</w:t>
            </w:r>
          </w:p>
        </w:tc>
        <w:tc>
          <w:tcPr>
            <w:tcW w:w="672"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3,467,547.18</w:t>
            </w:r>
          </w:p>
        </w:tc>
        <w:tc>
          <w:tcPr>
            <w:tcW w:w="76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13,492,562.73</w:t>
            </w: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16,960,109.91</w:t>
            </w:r>
          </w:p>
        </w:tc>
        <w:tc>
          <w:tcPr>
            <w:tcW w:w="629"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639"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672"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21,801,436.36</w:t>
            </w:r>
          </w:p>
        </w:tc>
        <w:tc>
          <w:tcPr>
            <w:tcW w:w="765"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106,382,270.42</w:t>
            </w:r>
          </w:p>
        </w:tc>
        <w:tc>
          <w:tcPr>
            <w:tcW w:w="579" w:type="pct"/>
            <w:vAlign w:val="center"/>
          </w:tcPr>
          <w:p w:rsidR="00403CD6" w:rsidRDefault="00403CD6">
            <w:pPr>
              <w:jc w:val="right"/>
              <w:rPr>
                <w:rFonts w:ascii="Times New Roman" w:hAnsi="Times New Roman" w:cs="Times New Roman"/>
                <w:sz w:val="18"/>
                <w:szCs w:val="18"/>
              </w:rPr>
            </w:pPr>
          </w:p>
        </w:tc>
        <w:tc>
          <w:tcPr>
            <w:tcW w:w="716"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128,183,706.78</w:t>
            </w:r>
          </w:p>
        </w:tc>
        <w:tc>
          <w:tcPr>
            <w:tcW w:w="6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w:t>
            </w:r>
          </w:p>
        </w:tc>
      </w:tr>
    </w:tbl>
    <w:p w:rsidR="00403CD6" w:rsidRDefault="00E91A59">
      <w:pPr>
        <w:rPr>
          <w:rFonts w:ascii="宋体" w:eastAsia="宋体" w:hAnsi="宋体" w:cs="宋体"/>
          <w:sz w:val="18"/>
          <w:szCs w:val="18"/>
        </w:rPr>
      </w:pPr>
      <w:bookmarkStart w:id="71" w:name="_Toc989283"/>
      <w:r>
        <w:rPr>
          <w:rFonts w:ascii="宋体" w:eastAsia="宋体" w:hAnsi="宋体" w:cs="宋体" w:hint="eastAsia"/>
          <w:sz w:val="18"/>
          <w:szCs w:val="18"/>
        </w:rPr>
        <w:t>说明：本公司对重要的工程项目进行了减值测试，对停滞项目前期发生的非主体施工支出计提了减值。</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（4） 在建工程的减值测试情况</w:t>
      </w:r>
      <w:bookmarkEnd w:id="71"/>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579"/>
        <w:gridCol w:w="1276"/>
        <w:gridCol w:w="1276"/>
        <w:gridCol w:w="1276"/>
        <w:gridCol w:w="1419"/>
        <w:gridCol w:w="849"/>
        <w:gridCol w:w="1018"/>
      </w:tblGrid>
      <w:tr w:rsidR="00403CD6">
        <w:trPr>
          <w:trHeight w:val="284"/>
        </w:trPr>
        <w:tc>
          <w:tcPr>
            <w:tcW w:w="13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65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65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可收回金额</w:t>
            </w:r>
          </w:p>
        </w:tc>
        <w:tc>
          <w:tcPr>
            <w:tcW w:w="65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减值金额</w:t>
            </w:r>
          </w:p>
        </w:tc>
        <w:tc>
          <w:tcPr>
            <w:tcW w:w="73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公允价值和处置费用的确定方式</w:t>
            </w:r>
          </w:p>
        </w:tc>
        <w:tc>
          <w:tcPr>
            <w:tcW w:w="4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w:t>
            </w:r>
          </w:p>
        </w:tc>
        <w:tc>
          <w:tcPr>
            <w:tcW w:w="52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关键参数的确定依据</w:t>
            </w: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武汉</w:t>
            </w:r>
            <w:r>
              <w:rPr>
                <w:rFonts w:ascii="Times New Roman" w:eastAsia="宋体" w:hAnsi="Times New Roman" w:cs="Times New Roman"/>
                <w:sz w:val="18"/>
                <w:szCs w:val="18"/>
              </w:rPr>
              <w:t>4800</w:t>
            </w:r>
            <w:r>
              <w:rPr>
                <w:rFonts w:ascii="Times New Roman" w:eastAsia="宋体" w:hAnsi="Times New Roman" w:cs="Times New Roman"/>
                <w:sz w:val="18"/>
                <w:szCs w:val="18"/>
              </w:rPr>
              <w:t>纸机搬迁项目</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549,063,751.76</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462,351,340.32</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86,712,411.44</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30</w:t>
            </w:r>
            <w:r>
              <w:rPr>
                <w:rFonts w:ascii="Times New Roman" w:hAnsi="Times New Roman" w:cs="Times New Roman"/>
                <w:sz w:val="18"/>
                <w:szCs w:val="18"/>
              </w:rPr>
              <w:t>万吨针叶</w:t>
            </w:r>
            <w:proofErr w:type="gramStart"/>
            <w:r>
              <w:rPr>
                <w:rFonts w:ascii="Times New Roman" w:hAnsi="Times New Roman" w:cs="Times New Roman"/>
                <w:sz w:val="18"/>
                <w:szCs w:val="18"/>
              </w:rPr>
              <w:t>浆</w:t>
            </w:r>
            <w:proofErr w:type="gramEnd"/>
            <w:r>
              <w:rPr>
                <w:rFonts w:ascii="Times New Roman" w:hAnsi="Times New Roman" w:cs="Times New Roman"/>
                <w:sz w:val="18"/>
                <w:szCs w:val="18"/>
              </w:rPr>
              <w:t>项目</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12,703,321.77</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6,526,025.52</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6,177,296.25</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 xml:space="preserve">T44 </w:t>
            </w:r>
            <w:r>
              <w:rPr>
                <w:rFonts w:ascii="Times New Roman" w:hAnsi="Times New Roman" w:cs="Times New Roman"/>
                <w:sz w:val="18"/>
                <w:szCs w:val="18"/>
              </w:rPr>
              <w:t>机械</w:t>
            </w:r>
            <w:proofErr w:type="gramStart"/>
            <w:r>
              <w:rPr>
                <w:rFonts w:ascii="Times New Roman" w:hAnsi="Times New Roman" w:cs="Times New Roman"/>
                <w:sz w:val="18"/>
                <w:szCs w:val="18"/>
              </w:rPr>
              <w:t>浆</w:t>
            </w:r>
            <w:proofErr w:type="gramEnd"/>
            <w:r>
              <w:rPr>
                <w:rFonts w:ascii="Times New Roman" w:hAnsi="Times New Roman" w:cs="Times New Roman"/>
                <w:sz w:val="18"/>
                <w:szCs w:val="18"/>
              </w:rPr>
              <w:t>提高白度改造项目</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10,983,128.76</w:t>
            </w:r>
          </w:p>
        </w:tc>
        <w:tc>
          <w:tcPr>
            <w:tcW w:w="658" w:type="pct"/>
            <w:vAlign w:val="center"/>
          </w:tcPr>
          <w:p w:rsidR="00403CD6" w:rsidRDefault="00403CD6">
            <w:pPr>
              <w:spacing w:line="240" w:lineRule="exact"/>
              <w:jc w:val="right"/>
              <w:rPr>
                <w:rFonts w:ascii="Times New Roman" w:eastAsia="宋体" w:hAnsi="Times New Roman" w:cs="Times New Roman"/>
                <w:sz w:val="18"/>
                <w:szCs w:val="18"/>
              </w:rPr>
            </w:pP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10,983,128.76</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20</w:t>
            </w:r>
            <w:r>
              <w:rPr>
                <w:rFonts w:ascii="Times New Roman" w:hAnsi="Times New Roman" w:cs="Times New Roman"/>
                <w:sz w:val="18"/>
                <w:szCs w:val="18"/>
              </w:rPr>
              <w:t>万吨</w:t>
            </w:r>
            <w:r>
              <w:rPr>
                <w:rFonts w:ascii="Times New Roman" w:hAnsi="Times New Roman" w:cs="Times New Roman"/>
                <w:sz w:val="18"/>
                <w:szCs w:val="18"/>
              </w:rPr>
              <w:t>/</w:t>
            </w:r>
            <w:r>
              <w:rPr>
                <w:rFonts w:ascii="Times New Roman" w:hAnsi="Times New Roman" w:cs="Times New Roman"/>
                <w:sz w:val="18"/>
                <w:szCs w:val="18"/>
              </w:rPr>
              <w:t>年甲烷氯化</w:t>
            </w:r>
            <w:proofErr w:type="gramStart"/>
            <w:r>
              <w:rPr>
                <w:rFonts w:ascii="Times New Roman" w:hAnsi="Times New Roman" w:cs="Times New Roman"/>
                <w:sz w:val="18"/>
                <w:szCs w:val="18"/>
              </w:rPr>
              <w:t>物项目</w:t>
            </w:r>
            <w:proofErr w:type="gramEnd"/>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905,660.38</w:t>
            </w:r>
          </w:p>
        </w:tc>
        <w:tc>
          <w:tcPr>
            <w:tcW w:w="658" w:type="pct"/>
            <w:vAlign w:val="center"/>
          </w:tcPr>
          <w:p w:rsidR="00403CD6" w:rsidRDefault="00403CD6">
            <w:pPr>
              <w:spacing w:line="240" w:lineRule="exact"/>
              <w:jc w:val="right"/>
              <w:rPr>
                <w:rFonts w:ascii="Times New Roman" w:eastAsia="宋体" w:hAnsi="Times New Roman" w:cs="Times New Roman"/>
                <w:sz w:val="18"/>
                <w:szCs w:val="18"/>
              </w:rPr>
            </w:pP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905,660.38</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35</w:t>
            </w:r>
            <w:r>
              <w:rPr>
                <w:rFonts w:ascii="Times New Roman" w:hAnsi="Times New Roman" w:cs="Times New Roman"/>
                <w:sz w:val="18"/>
                <w:szCs w:val="18"/>
              </w:rPr>
              <w:t>万吨</w:t>
            </w:r>
            <w:r>
              <w:rPr>
                <w:rFonts w:ascii="Times New Roman" w:hAnsi="Times New Roman" w:cs="Times New Roman"/>
                <w:sz w:val="18"/>
                <w:szCs w:val="18"/>
              </w:rPr>
              <w:t>/</w:t>
            </w:r>
            <w:r>
              <w:rPr>
                <w:rFonts w:ascii="Times New Roman" w:hAnsi="Times New Roman" w:cs="Times New Roman"/>
                <w:sz w:val="18"/>
                <w:szCs w:val="18"/>
              </w:rPr>
              <w:t>年双氧水（</w:t>
            </w:r>
            <w:r>
              <w:rPr>
                <w:rFonts w:ascii="Times New Roman" w:hAnsi="Times New Roman" w:cs="Times New Roman"/>
                <w:sz w:val="18"/>
                <w:szCs w:val="18"/>
              </w:rPr>
              <w:t>27.5%</w:t>
            </w:r>
            <w:r>
              <w:rPr>
                <w:rFonts w:ascii="Times New Roman" w:hAnsi="Times New Roman" w:cs="Times New Roman"/>
                <w:sz w:val="18"/>
                <w:szCs w:val="18"/>
              </w:rPr>
              <w:t>）工程</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566,037.74</w:t>
            </w:r>
          </w:p>
        </w:tc>
        <w:tc>
          <w:tcPr>
            <w:tcW w:w="658" w:type="pct"/>
            <w:vAlign w:val="center"/>
          </w:tcPr>
          <w:p w:rsidR="00403CD6" w:rsidRDefault="00403CD6">
            <w:pPr>
              <w:spacing w:line="240" w:lineRule="exact"/>
              <w:jc w:val="right"/>
              <w:rPr>
                <w:rFonts w:ascii="Times New Roman" w:eastAsia="宋体" w:hAnsi="Times New Roman" w:cs="Times New Roman"/>
                <w:sz w:val="18"/>
                <w:szCs w:val="18"/>
              </w:rPr>
            </w:pP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566,037.74</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8</w:t>
            </w:r>
            <w:r>
              <w:rPr>
                <w:rFonts w:ascii="Times New Roman" w:hAnsi="Times New Roman" w:cs="Times New Roman"/>
                <w:sz w:val="18"/>
                <w:szCs w:val="18"/>
              </w:rPr>
              <w:t>万吨</w:t>
            </w:r>
            <w:r>
              <w:rPr>
                <w:rFonts w:ascii="Times New Roman" w:hAnsi="Times New Roman" w:cs="Times New Roman"/>
                <w:sz w:val="18"/>
                <w:szCs w:val="18"/>
              </w:rPr>
              <w:t>/</w:t>
            </w:r>
            <w:proofErr w:type="gramStart"/>
            <w:r>
              <w:rPr>
                <w:rFonts w:ascii="Times New Roman" w:hAnsi="Times New Roman" w:cs="Times New Roman"/>
                <w:sz w:val="18"/>
                <w:szCs w:val="18"/>
              </w:rPr>
              <w:t>年氯化</w:t>
            </w:r>
            <w:proofErr w:type="gramEnd"/>
            <w:r>
              <w:rPr>
                <w:rFonts w:ascii="Times New Roman" w:hAnsi="Times New Roman" w:cs="Times New Roman"/>
                <w:sz w:val="18"/>
                <w:szCs w:val="18"/>
              </w:rPr>
              <w:t>亚砜（含</w:t>
            </w:r>
            <w:r>
              <w:rPr>
                <w:rFonts w:ascii="Times New Roman" w:hAnsi="Times New Roman" w:cs="Times New Roman"/>
                <w:sz w:val="18"/>
                <w:szCs w:val="18"/>
              </w:rPr>
              <w:t>6</w:t>
            </w:r>
            <w:r>
              <w:rPr>
                <w:rFonts w:ascii="Times New Roman" w:hAnsi="Times New Roman" w:cs="Times New Roman"/>
                <w:sz w:val="18"/>
                <w:szCs w:val="18"/>
              </w:rPr>
              <w:t>万吨</w:t>
            </w:r>
            <w:r>
              <w:rPr>
                <w:rFonts w:ascii="Times New Roman" w:hAnsi="Times New Roman" w:cs="Times New Roman"/>
                <w:sz w:val="18"/>
                <w:szCs w:val="18"/>
              </w:rPr>
              <w:t>/</w:t>
            </w:r>
            <w:proofErr w:type="gramStart"/>
            <w:r>
              <w:rPr>
                <w:rFonts w:ascii="Times New Roman" w:hAnsi="Times New Roman" w:cs="Times New Roman"/>
                <w:sz w:val="18"/>
                <w:szCs w:val="18"/>
              </w:rPr>
              <w:t>年聚铝</w:t>
            </w:r>
            <w:proofErr w:type="gramEnd"/>
            <w:r>
              <w:rPr>
                <w:rFonts w:ascii="Times New Roman" w:hAnsi="Times New Roman" w:cs="Times New Roman"/>
                <w:sz w:val="18"/>
                <w:szCs w:val="18"/>
              </w:rPr>
              <w:t>）项目</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1,037,735.85</w:t>
            </w:r>
          </w:p>
        </w:tc>
        <w:tc>
          <w:tcPr>
            <w:tcW w:w="658" w:type="pct"/>
            <w:vAlign w:val="center"/>
          </w:tcPr>
          <w:p w:rsidR="00403CD6" w:rsidRDefault="00403CD6">
            <w:pPr>
              <w:spacing w:line="240" w:lineRule="exact"/>
              <w:jc w:val="right"/>
              <w:rPr>
                <w:rFonts w:ascii="Times New Roman" w:eastAsia="宋体" w:hAnsi="Times New Roman" w:cs="Times New Roman"/>
                <w:sz w:val="18"/>
                <w:szCs w:val="18"/>
              </w:rPr>
            </w:pP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1,037,735.85</w:t>
            </w:r>
          </w:p>
        </w:tc>
        <w:tc>
          <w:tcPr>
            <w:tcW w:w="732" w:type="pct"/>
            <w:vAlign w:val="center"/>
          </w:tcPr>
          <w:p w:rsidR="00403CD6" w:rsidRDefault="00403CD6">
            <w:pPr>
              <w:spacing w:line="240" w:lineRule="exact"/>
              <w:rPr>
                <w:rFonts w:ascii="Times New Roman" w:eastAsia="宋体" w:hAnsi="Times New Roman" w:cs="Times New Roman"/>
                <w:sz w:val="18"/>
                <w:szCs w:val="18"/>
              </w:rPr>
            </w:pPr>
          </w:p>
        </w:tc>
        <w:tc>
          <w:tcPr>
            <w:tcW w:w="438" w:type="pct"/>
            <w:vAlign w:val="center"/>
          </w:tcPr>
          <w:p w:rsidR="00403CD6" w:rsidRDefault="00403CD6">
            <w:pPr>
              <w:spacing w:line="240" w:lineRule="exact"/>
              <w:rPr>
                <w:rFonts w:ascii="Times New Roman" w:eastAsia="宋体" w:hAnsi="Times New Roman" w:cs="Times New Roman"/>
                <w:sz w:val="18"/>
                <w:szCs w:val="18"/>
              </w:rPr>
            </w:pPr>
          </w:p>
        </w:tc>
        <w:tc>
          <w:tcPr>
            <w:tcW w:w="52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3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575,259,636.26</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468,877,365.84</w:t>
            </w:r>
          </w:p>
        </w:tc>
        <w:tc>
          <w:tcPr>
            <w:tcW w:w="65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106,382,270.42</w:t>
            </w:r>
          </w:p>
        </w:tc>
        <w:tc>
          <w:tcPr>
            <w:tcW w:w="732" w:type="pct"/>
            <w:shd w:val="clear" w:color="auto" w:fill="D3D3D3"/>
            <w:vAlign w:val="center"/>
          </w:tcPr>
          <w:p w:rsidR="00403CD6" w:rsidRDefault="00403CD6">
            <w:pPr>
              <w:rPr>
                <w:rFonts w:ascii="Times New Roman" w:hAnsi="Times New Roman" w:cs="Times New Roman"/>
              </w:rPr>
            </w:pPr>
          </w:p>
        </w:tc>
        <w:tc>
          <w:tcPr>
            <w:tcW w:w="438" w:type="pct"/>
            <w:shd w:val="clear" w:color="auto" w:fill="D3D3D3"/>
            <w:vAlign w:val="center"/>
          </w:tcPr>
          <w:p w:rsidR="00403CD6" w:rsidRDefault="00403CD6">
            <w:pPr>
              <w:rPr>
                <w:rFonts w:ascii="Times New Roman" w:hAnsi="Times New Roman" w:cs="Times New Roman"/>
              </w:rPr>
            </w:pPr>
          </w:p>
        </w:tc>
        <w:tc>
          <w:tcPr>
            <w:tcW w:w="525"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说明：</w:t>
      </w:r>
      <w:r>
        <w:rPr>
          <w:rFonts w:ascii="Times New Roman" w:eastAsia="宋体" w:hAnsi="Times New Roman" w:cs="Times New Roman"/>
          <w:sz w:val="18"/>
          <w:szCs w:val="18"/>
        </w:rPr>
        <w:t>2024</w:t>
      </w:r>
      <w:r>
        <w:rPr>
          <w:rFonts w:ascii="Times New Roman" w:eastAsia="宋体" w:hAnsi="Times New Roman" w:cs="Times New Roman"/>
          <w:sz w:val="18"/>
          <w:szCs w:val="18"/>
        </w:rPr>
        <w:t>年公司</w:t>
      </w:r>
      <w:r>
        <w:rPr>
          <w:rFonts w:ascii="Times New Roman" w:eastAsia="宋体" w:hAnsi="Times New Roman" w:cs="Times New Roman" w:hint="eastAsia"/>
          <w:sz w:val="18"/>
          <w:szCs w:val="18"/>
        </w:rPr>
        <w:t>部分生产基地临时停机检修</w:t>
      </w:r>
      <w:r>
        <w:rPr>
          <w:rFonts w:ascii="Times New Roman" w:eastAsia="宋体" w:hAnsi="Times New Roman" w:cs="Times New Roman"/>
          <w:sz w:val="18"/>
          <w:szCs w:val="18"/>
        </w:rPr>
        <w:t>，部分工程项目存在停滞的情况，公司年终进行了盘点梳理，主要对停滞项目前期发生的非主体施工支出计提了减值。</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□适用</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Cs w:val="21"/>
        </w:rPr>
      </w:pPr>
      <w:bookmarkStart w:id="72" w:name="_Toc989284"/>
      <w:r>
        <w:rPr>
          <w:rFonts w:ascii="宋体" w:eastAsia="宋体" w:hAnsi="宋体" w:cs="宋体" w:hint="eastAsia"/>
          <w:b/>
          <w:bCs/>
          <w:szCs w:val="21"/>
        </w:rPr>
        <w:t>（5） 工程物资</w:t>
      </w:r>
      <w:bookmarkEnd w:id="72"/>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7"/>
        <w:gridCol w:w="1407"/>
        <w:gridCol w:w="1407"/>
        <w:gridCol w:w="1409"/>
        <w:gridCol w:w="1407"/>
        <w:gridCol w:w="1407"/>
        <w:gridCol w:w="1409"/>
      </w:tblGrid>
      <w:tr w:rsidR="00403CD6">
        <w:trPr>
          <w:trHeight w:val="284"/>
        </w:trPr>
        <w:tc>
          <w:tcPr>
            <w:tcW w:w="71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143"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143"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714" w:type="pct"/>
            <w:vMerge/>
            <w:vAlign w:val="center"/>
          </w:tcPr>
          <w:p w:rsidR="00403CD6" w:rsidRDefault="00403CD6">
            <w:pPr>
              <w:widowControl/>
              <w:rPr>
                <w:rFonts w:ascii="Times New Roman" w:eastAsia="宋体" w:hAnsi="Times New Roman" w:cs="Times New Roman"/>
                <w:sz w:val="18"/>
                <w:szCs w:val="18"/>
              </w:rPr>
            </w:pP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714"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专用材料</w:t>
            </w:r>
          </w:p>
        </w:tc>
        <w:tc>
          <w:tcPr>
            <w:tcW w:w="71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7,226,885.83</w:t>
            </w:r>
          </w:p>
        </w:tc>
        <w:tc>
          <w:tcPr>
            <w:tcW w:w="714" w:type="pct"/>
            <w:vAlign w:val="center"/>
          </w:tcPr>
          <w:p w:rsidR="00403CD6" w:rsidRDefault="00403CD6">
            <w:pPr>
              <w:spacing w:line="240" w:lineRule="exact"/>
              <w:jc w:val="right"/>
              <w:rPr>
                <w:rFonts w:ascii="Times New Roman" w:hAnsi="Times New Roman" w:cs="Times New Roman"/>
                <w:sz w:val="18"/>
                <w:szCs w:val="18"/>
              </w:rPr>
            </w:pPr>
          </w:p>
        </w:tc>
        <w:tc>
          <w:tcPr>
            <w:tcW w:w="71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7,226,885.83</w:t>
            </w:r>
          </w:p>
        </w:tc>
        <w:tc>
          <w:tcPr>
            <w:tcW w:w="71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7,478,546.68</w:t>
            </w:r>
          </w:p>
        </w:tc>
        <w:tc>
          <w:tcPr>
            <w:tcW w:w="714" w:type="pct"/>
            <w:vAlign w:val="center"/>
          </w:tcPr>
          <w:p w:rsidR="00403CD6" w:rsidRDefault="00403CD6">
            <w:pPr>
              <w:spacing w:line="240" w:lineRule="exact"/>
              <w:jc w:val="right"/>
              <w:rPr>
                <w:rFonts w:ascii="Times New Roman" w:hAnsi="Times New Roman" w:cs="Times New Roman"/>
                <w:sz w:val="18"/>
                <w:szCs w:val="18"/>
              </w:rPr>
            </w:pPr>
          </w:p>
        </w:tc>
        <w:tc>
          <w:tcPr>
            <w:tcW w:w="71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7,478,546.68</w:t>
            </w:r>
          </w:p>
        </w:tc>
      </w:tr>
      <w:tr w:rsidR="00403CD6">
        <w:trPr>
          <w:trHeight w:val="284"/>
        </w:trPr>
        <w:tc>
          <w:tcPr>
            <w:tcW w:w="714"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lastRenderedPageBreak/>
              <w:t>合计</w:t>
            </w:r>
          </w:p>
        </w:tc>
        <w:tc>
          <w:tcPr>
            <w:tcW w:w="71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7,226,885.83</w:t>
            </w:r>
          </w:p>
        </w:tc>
        <w:tc>
          <w:tcPr>
            <w:tcW w:w="714" w:type="pct"/>
            <w:vAlign w:val="center"/>
          </w:tcPr>
          <w:p w:rsidR="00403CD6" w:rsidRDefault="00403CD6">
            <w:pPr>
              <w:spacing w:line="240" w:lineRule="exact"/>
              <w:jc w:val="right"/>
              <w:rPr>
                <w:rFonts w:ascii="Times New Roman" w:hAnsi="Times New Roman" w:cs="Times New Roman"/>
                <w:sz w:val="18"/>
                <w:szCs w:val="18"/>
              </w:rPr>
            </w:pPr>
          </w:p>
        </w:tc>
        <w:tc>
          <w:tcPr>
            <w:tcW w:w="71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7,226,885.83</w:t>
            </w:r>
          </w:p>
        </w:tc>
        <w:tc>
          <w:tcPr>
            <w:tcW w:w="71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7,478,546.68</w:t>
            </w:r>
          </w:p>
        </w:tc>
        <w:tc>
          <w:tcPr>
            <w:tcW w:w="714" w:type="pct"/>
            <w:vAlign w:val="center"/>
          </w:tcPr>
          <w:p w:rsidR="00403CD6" w:rsidRDefault="00403CD6">
            <w:pPr>
              <w:spacing w:line="240" w:lineRule="exact"/>
              <w:jc w:val="right"/>
              <w:rPr>
                <w:rFonts w:ascii="Times New Roman" w:hAnsi="Times New Roman" w:cs="Times New Roman"/>
                <w:sz w:val="18"/>
                <w:szCs w:val="18"/>
              </w:rPr>
            </w:pPr>
          </w:p>
        </w:tc>
        <w:tc>
          <w:tcPr>
            <w:tcW w:w="71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7,478,546.68</w:t>
            </w:r>
          </w:p>
        </w:tc>
      </w:tr>
    </w:tbl>
    <w:p w:rsidR="00403CD6" w:rsidRDefault="00E91A59">
      <w:pPr>
        <w:keepNext/>
        <w:keepLines/>
        <w:spacing w:before="300" w:after="300" w:line="280" w:lineRule="exact"/>
        <w:outlineLvl w:val="2"/>
        <w:rPr>
          <w:rFonts w:ascii="宋体" w:eastAsia="宋体" w:hAnsi="宋体" w:cs="宋体"/>
          <w:b/>
          <w:bCs/>
          <w:szCs w:val="21"/>
        </w:rPr>
      </w:pPr>
      <w:bookmarkStart w:id="73" w:name="_Toc989285"/>
      <w:r>
        <w:rPr>
          <w:rFonts w:ascii="宋体" w:eastAsia="宋体" w:hAnsi="宋体" w:cs="宋体" w:hint="eastAsia"/>
          <w:b/>
          <w:bCs/>
          <w:szCs w:val="21"/>
        </w:rPr>
        <w:t>17、生产性生物资产</w:t>
      </w:r>
      <w:bookmarkEnd w:id="73"/>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采用成本计量模式的生产性生物资产</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1"/>
        <w:gridCol w:w="3098"/>
        <w:gridCol w:w="2974"/>
      </w:tblGrid>
      <w:tr w:rsidR="00403CD6">
        <w:trPr>
          <w:trHeight w:val="284"/>
        </w:trPr>
        <w:tc>
          <w:tcPr>
            <w:tcW w:w="190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57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heme="minorEastAsia" w:hAnsiTheme="minorEastAsia" w:cstheme="minorEastAsia" w:hint="eastAsia"/>
                <w:color w:val="000000"/>
                <w:sz w:val="18"/>
                <w:szCs w:val="18"/>
              </w:rPr>
              <w:t>茶树</w:t>
            </w:r>
          </w:p>
        </w:tc>
        <w:tc>
          <w:tcPr>
            <w:tcW w:w="15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trHeight w:val="284"/>
        </w:trPr>
        <w:tc>
          <w:tcPr>
            <w:tcW w:w="190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一、账面原值：</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17,684,687.36</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17,684,687.36</w:t>
            </w: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1,019,456.24</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1,019,456.24</w:t>
            </w:r>
          </w:p>
        </w:tc>
      </w:tr>
      <w:tr w:rsidR="00403CD6">
        <w:trPr>
          <w:trHeight w:val="284"/>
        </w:trPr>
        <w:tc>
          <w:tcPr>
            <w:tcW w:w="1909"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hint="eastAsia"/>
                <w:sz w:val="18"/>
                <w:szCs w:val="18"/>
              </w:rPr>
              <w:t>1</w:t>
            </w:r>
            <w:r>
              <w:rPr>
                <w:rFonts w:ascii="Times New Roman" w:eastAsia="宋体" w:hAnsi="Times New Roman" w:cs="Times New Roman"/>
                <w:sz w:val="18"/>
                <w:szCs w:val="18"/>
              </w:rPr>
              <w:t>）自行培育</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1,019,456.24</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1,019,456.24</w:t>
            </w: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18,704,143.60</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18,704,143.60</w:t>
            </w:r>
          </w:p>
        </w:tc>
      </w:tr>
      <w:tr w:rsidR="00403CD6">
        <w:trPr>
          <w:trHeight w:val="284"/>
        </w:trPr>
        <w:tc>
          <w:tcPr>
            <w:tcW w:w="190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二、累计折旧</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三、减值准备</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157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c>
          <w:tcPr>
            <w:tcW w:w="15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r>
      <w:tr w:rsidR="00403CD6">
        <w:trPr>
          <w:trHeight w:val="284"/>
        </w:trPr>
        <w:tc>
          <w:tcPr>
            <w:tcW w:w="1909"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w:t>
            </w:r>
          </w:p>
        </w:tc>
        <w:tc>
          <w:tcPr>
            <w:tcW w:w="157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9,352,071.80</w:t>
            </w:r>
          </w:p>
        </w:tc>
        <w:tc>
          <w:tcPr>
            <w:tcW w:w="151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9,352,071.80</w:t>
            </w: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1577"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151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157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9,352,071.80</w:t>
            </w:r>
          </w:p>
        </w:tc>
        <w:tc>
          <w:tcPr>
            <w:tcW w:w="151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9,352,071.80</w:t>
            </w:r>
          </w:p>
        </w:tc>
      </w:tr>
      <w:tr w:rsidR="00403CD6">
        <w:trPr>
          <w:trHeight w:val="284"/>
        </w:trPr>
        <w:tc>
          <w:tcPr>
            <w:tcW w:w="190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四、账面价值</w:t>
            </w:r>
          </w:p>
        </w:tc>
        <w:tc>
          <w:tcPr>
            <w:tcW w:w="1577" w:type="pct"/>
            <w:vAlign w:val="center"/>
          </w:tcPr>
          <w:p w:rsidR="00403CD6" w:rsidRDefault="00403CD6">
            <w:pPr>
              <w:spacing w:line="240" w:lineRule="exact"/>
              <w:jc w:val="right"/>
              <w:rPr>
                <w:rFonts w:ascii="Times New Roman" w:eastAsia="宋体" w:hAnsi="Times New Roman" w:cs="Times New Roman"/>
                <w:sz w:val="18"/>
                <w:szCs w:val="18"/>
              </w:rPr>
            </w:pPr>
          </w:p>
        </w:tc>
        <w:tc>
          <w:tcPr>
            <w:tcW w:w="1514"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期末账面价值</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r>
      <w:tr w:rsidR="00403CD6">
        <w:trPr>
          <w:trHeight w:val="284"/>
        </w:trPr>
        <w:tc>
          <w:tcPr>
            <w:tcW w:w="190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期初账面价值</w:t>
            </w:r>
          </w:p>
        </w:tc>
        <w:tc>
          <w:tcPr>
            <w:tcW w:w="1577"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17,684,687.36</w:t>
            </w:r>
          </w:p>
        </w:tc>
        <w:tc>
          <w:tcPr>
            <w:tcW w:w="151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17,684,687.36</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采用成本计量模式的生产性生物资产的减值测试情况</w:t>
      </w:r>
    </w:p>
    <w:p w:rsidR="00403CD6" w:rsidRDefault="00E91A59">
      <w:pPr>
        <w:spacing w:before="40" w:after="4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9"/>
        <w:gridCol w:w="1409"/>
        <w:gridCol w:w="1409"/>
        <w:gridCol w:w="1409"/>
        <w:gridCol w:w="1407"/>
        <w:gridCol w:w="1407"/>
        <w:gridCol w:w="1403"/>
      </w:tblGrid>
      <w:tr w:rsidR="00403CD6">
        <w:trPr>
          <w:trHeight w:val="284"/>
        </w:trPr>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可收回金额</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减值金额</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公允价值和处置费用的确定方式</w:t>
            </w:r>
          </w:p>
        </w:tc>
        <w:tc>
          <w:tcPr>
            <w:tcW w:w="71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w:t>
            </w:r>
          </w:p>
        </w:tc>
        <w:tc>
          <w:tcPr>
            <w:tcW w:w="7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关键参数的确定依据</w:t>
            </w:r>
          </w:p>
        </w:tc>
      </w:tr>
      <w:tr w:rsidR="00403CD6">
        <w:trPr>
          <w:trHeight w:val="284"/>
        </w:trPr>
        <w:tc>
          <w:tcPr>
            <w:tcW w:w="71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茶树</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18,704,143.60</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9,352,071.80</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c>
          <w:tcPr>
            <w:tcW w:w="714"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详见说明</w:t>
            </w:r>
          </w:p>
        </w:tc>
        <w:tc>
          <w:tcPr>
            <w:tcW w:w="714" w:type="pct"/>
            <w:vAlign w:val="center"/>
          </w:tcPr>
          <w:p w:rsidR="00403CD6" w:rsidRDefault="00403CD6">
            <w:pPr>
              <w:spacing w:line="240" w:lineRule="exact"/>
              <w:rPr>
                <w:rFonts w:ascii="Times New Roman" w:eastAsia="宋体" w:hAnsi="Times New Roman" w:cs="Times New Roman"/>
                <w:sz w:val="18"/>
                <w:szCs w:val="18"/>
              </w:rPr>
            </w:pPr>
          </w:p>
        </w:tc>
        <w:tc>
          <w:tcPr>
            <w:tcW w:w="712"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18,704,143.60</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9,352,071.80</w:t>
            </w:r>
          </w:p>
        </w:tc>
        <w:tc>
          <w:tcPr>
            <w:tcW w:w="71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9,352,071.80</w:t>
            </w:r>
          </w:p>
        </w:tc>
        <w:tc>
          <w:tcPr>
            <w:tcW w:w="714" w:type="pct"/>
            <w:shd w:val="clear" w:color="auto" w:fill="D3D3D3"/>
            <w:vAlign w:val="center"/>
          </w:tcPr>
          <w:p w:rsidR="00403CD6" w:rsidRDefault="00403CD6">
            <w:pPr>
              <w:rPr>
                <w:rFonts w:ascii="Times New Roman" w:hAnsi="Times New Roman" w:cs="Times New Roman"/>
              </w:rPr>
            </w:pPr>
          </w:p>
        </w:tc>
        <w:tc>
          <w:tcPr>
            <w:tcW w:w="714" w:type="pct"/>
            <w:shd w:val="clear" w:color="auto" w:fill="D3D3D3"/>
            <w:vAlign w:val="center"/>
          </w:tcPr>
          <w:p w:rsidR="00403CD6" w:rsidRDefault="00403CD6">
            <w:pPr>
              <w:rPr>
                <w:rFonts w:ascii="Times New Roman" w:hAnsi="Times New Roman" w:cs="Times New Roman"/>
              </w:rPr>
            </w:pPr>
          </w:p>
        </w:tc>
        <w:tc>
          <w:tcPr>
            <w:tcW w:w="712" w:type="pct"/>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说明：公司根据盘点情况估计对应面积占到</w:t>
      </w:r>
      <w:r>
        <w:rPr>
          <w:rFonts w:ascii="Times New Roman" w:eastAsia="宋体" w:hAnsi="Times New Roman" w:cs="Times New Roman"/>
          <w:sz w:val="18"/>
          <w:szCs w:val="18"/>
        </w:rPr>
        <w:t>50%</w:t>
      </w:r>
      <w:r>
        <w:rPr>
          <w:rFonts w:ascii="Times New Roman" w:eastAsia="宋体" w:hAnsi="Times New Roman" w:cs="Times New Roman"/>
          <w:sz w:val="18"/>
          <w:szCs w:val="18"/>
        </w:rPr>
        <w:t>的茶树由于管理维护存在部分茶树枯死或长势不善的情况，因此计提</w:t>
      </w:r>
      <w:r>
        <w:rPr>
          <w:rFonts w:ascii="Times New Roman" w:eastAsia="宋体" w:hAnsi="Times New Roman" w:cs="Times New Roman"/>
          <w:sz w:val="18"/>
          <w:szCs w:val="18"/>
        </w:rPr>
        <w:t>50%</w:t>
      </w:r>
      <w:r>
        <w:rPr>
          <w:rFonts w:ascii="Times New Roman" w:eastAsia="宋体" w:hAnsi="Times New Roman" w:cs="Times New Roman"/>
          <w:sz w:val="18"/>
          <w:szCs w:val="18"/>
        </w:rPr>
        <w:t>的减值。</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lastRenderedPageBreak/>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Cs w:val="21"/>
        </w:rPr>
      </w:pPr>
      <w:bookmarkStart w:id="74" w:name="_Toc989288"/>
      <w:r>
        <w:rPr>
          <w:rFonts w:ascii="宋体" w:eastAsia="宋体" w:hAnsi="宋体" w:cs="宋体" w:hint="eastAsia"/>
          <w:b/>
          <w:bCs/>
          <w:szCs w:val="21"/>
        </w:rPr>
        <w:t>（3） 采用公允价值计量模式的生产性生物资产</w:t>
      </w:r>
      <w:bookmarkEnd w:id="74"/>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□适用</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18、使用权资产</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使用权资产情况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5"/>
        <w:gridCol w:w="2472"/>
        <w:gridCol w:w="2205"/>
        <w:gridCol w:w="2543"/>
      </w:tblGrid>
      <w:tr w:rsidR="00403CD6">
        <w:trPr>
          <w:trHeight w:val="284"/>
        </w:trPr>
        <w:tc>
          <w:tcPr>
            <w:tcW w:w="2615"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472" w:type="dxa"/>
            <w:shd w:val="clear" w:color="auto" w:fill="D8D8D8" w:themeFill="background1" w:themeFillShade="D8"/>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土地使用权</w:t>
            </w:r>
          </w:p>
        </w:tc>
        <w:tc>
          <w:tcPr>
            <w:tcW w:w="2205" w:type="dxa"/>
            <w:shd w:val="clear" w:color="auto" w:fill="D8D8D8" w:themeFill="background1" w:themeFillShade="D8"/>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房屋及建筑物</w:t>
            </w:r>
          </w:p>
        </w:tc>
        <w:tc>
          <w:tcPr>
            <w:tcW w:w="2543"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trHeight w:val="284"/>
        </w:trPr>
        <w:tc>
          <w:tcPr>
            <w:tcW w:w="2615"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一、账面原值</w:t>
            </w:r>
          </w:p>
        </w:tc>
        <w:tc>
          <w:tcPr>
            <w:tcW w:w="2472" w:type="dxa"/>
            <w:vAlign w:val="center"/>
          </w:tcPr>
          <w:p w:rsidR="00403CD6" w:rsidRDefault="00403CD6">
            <w:pPr>
              <w:spacing w:line="240" w:lineRule="exact"/>
              <w:jc w:val="right"/>
              <w:rPr>
                <w:rFonts w:ascii="Times New Roman" w:eastAsia="宋体" w:hAnsi="Times New Roman" w:cs="Times New Roman"/>
                <w:sz w:val="18"/>
                <w:szCs w:val="18"/>
              </w:rPr>
            </w:pPr>
          </w:p>
        </w:tc>
        <w:tc>
          <w:tcPr>
            <w:tcW w:w="2205" w:type="dxa"/>
            <w:vAlign w:val="center"/>
          </w:tcPr>
          <w:p w:rsidR="00403CD6" w:rsidRDefault="00403CD6">
            <w:pPr>
              <w:spacing w:line="240" w:lineRule="exact"/>
              <w:jc w:val="right"/>
              <w:rPr>
                <w:rFonts w:ascii="Times New Roman" w:eastAsia="宋体" w:hAnsi="Times New Roman" w:cs="Times New Roman"/>
                <w:sz w:val="18"/>
                <w:szCs w:val="18"/>
              </w:rPr>
            </w:pPr>
          </w:p>
        </w:tc>
        <w:tc>
          <w:tcPr>
            <w:tcW w:w="2543" w:type="dxa"/>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198,089,207.01</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5,521,837.26</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203,611,044.27</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15,065,365.55</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105,000,000.00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120,065,365.55</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1</w:t>
            </w:r>
            <w:r>
              <w:rPr>
                <w:rFonts w:ascii="Times New Roman" w:hAnsi="Times New Roman" w:cs="Times New Roman"/>
                <w:color w:val="000000"/>
                <w:sz w:val="18"/>
                <w:szCs w:val="18"/>
              </w:rPr>
              <w:t>）租入</w:t>
            </w:r>
          </w:p>
        </w:tc>
        <w:tc>
          <w:tcPr>
            <w:tcW w:w="2472"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105,000,000.00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105,000,000.00</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 xml:space="preserve">    </w:t>
            </w:r>
            <w:r>
              <w:rPr>
                <w:rFonts w:ascii="Times New Roman" w:hAnsi="Times New Roman" w:cs="Times New Roman"/>
                <w:sz w:val="18"/>
                <w:szCs w:val="18"/>
              </w:rPr>
              <w:t>（</w:t>
            </w:r>
            <w:r>
              <w:rPr>
                <w:rFonts w:ascii="Times New Roman" w:hAnsi="Times New Roman" w:cs="Times New Roman"/>
                <w:sz w:val="18"/>
                <w:szCs w:val="18"/>
              </w:rPr>
              <w:t>2</w:t>
            </w:r>
            <w:r>
              <w:rPr>
                <w:rFonts w:ascii="Times New Roman" w:hAnsi="Times New Roman" w:cs="Times New Roman"/>
                <w:sz w:val="18"/>
                <w:szCs w:val="18"/>
              </w:rPr>
              <w:t>）租赁负债调整</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15,065,365.55</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15,065,365.55</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hAnsi="Times New Roman" w:cs="Times New Roman"/>
                <w:sz w:val="18"/>
                <w:szCs w:val="18"/>
              </w:rPr>
            </w:pPr>
            <w:r>
              <w:rPr>
                <w:rFonts w:ascii="Times New Roman" w:hAnsi="Times New Roman" w:cs="Times New Roman"/>
                <w:sz w:val="18"/>
                <w:szCs w:val="18"/>
              </w:rPr>
              <w:t>3.</w:t>
            </w:r>
            <w:r>
              <w:rPr>
                <w:rFonts w:ascii="Times New Roman" w:hAnsi="Times New Roman" w:cs="Times New Roman"/>
                <w:sz w:val="18"/>
                <w:szCs w:val="18"/>
              </w:rPr>
              <w:t>本期减少金额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20,281,761.75</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24,770.64</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20,306,532.39</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1</w:t>
            </w:r>
            <w:r>
              <w:rPr>
                <w:rFonts w:ascii="Times New Roman" w:hAnsi="Times New Roman" w:cs="Times New Roman"/>
                <w:color w:val="000000"/>
                <w:sz w:val="18"/>
                <w:szCs w:val="18"/>
              </w:rPr>
              <w:t>）转租赁为融资租赁</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5,763,444.28</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5,763,444.28</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2</w:t>
            </w:r>
            <w:r>
              <w:rPr>
                <w:rFonts w:ascii="Times New Roman" w:hAnsi="Times New Roman" w:cs="Times New Roman"/>
                <w:color w:val="000000"/>
                <w:sz w:val="18"/>
                <w:szCs w:val="18"/>
              </w:rPr>
              <w:t>）转让或持有待售</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14,270,611.07</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14,270,611.07</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3</w:t>
            </w:r>
            <w:r>
              <w:rPr>
                <w:rFonts w:ascii="Times New Roman" w:hAnsi="Times New Roman" w:cs="Times New Roman"/>
                <w:color w:val="000000"/>
                <w:sz w:val="18"/>
                <w:szCs w:val="18"/>
              </w:rPr>
              <w:t>）其他减少</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247,706.40</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24,770.64</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272,477.04</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192,872,810.81</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110,497,066.62</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303,369,877.43</w:t>
            </w:r>
          </w:p>
        </w:tc>
      </w:tr>
      <w:tr w:rsidR="00403CD6">
        <w:trPr>
          <w:trHeight w:val="284"/>
        </w:trPr>
        <w:tc>
          <w:tcPr>
            <w:tcW w:w="2615"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二、累计折旧</w:t>
            </w:r>
          </w:p>
        </w:tc>
        <w:tc>
          <w:tcPr>
            <w:tcW w:w="2472" w:type="dxa"/>
            <w:shd w:val="clear" w:color="auto" w:fill="auto"/>
            <w:vAlign w:val="center"/>
          </w:tcPr>
          <w:p w:rsidR="00403CD6" w:rsidRDefault="00403CD6">
            <w:pPr>
              <w:jc w:val="right"/>
              <w:rPr>
                <w:rFonts w:ascii="Times New Roman" w:eastAsia="仿宋_GB2312" w:hAnsi="Times New Roman" w:cs="Times New Roman"/>
                <w:color w:val="000000"/>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34,470,758.27</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1,324,974.50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35,795,732.77</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7,258,461.26</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1,899,929.90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 xml:space="preserve"> 9,158,391.16 </w:t>
            </w:r>
          </w:p>
        </w:tc>
      </w:tr>
      <w:tr w:rsidR="00403CD6">
        <w:trPr>
          <w:trHeight w:val="284"/>
        </w:trPr>
        <w:tc>
          <w:tcPr>
            <w:tcW w:w="2615" w:type="dxa"/>
            <w:shd w:val="clear" w:color="auto" w:fill="D3D3D3"/>
            <w:vAlign w:val="center"/>
          </w:tcPr>
          <w:p w:rsidR="00403CD6" w:rsidRDefault="00E91A59">
            <w:pPr>
              <w:spacing w:before="40" w:after="40" w:line="240" w:lineRule="exact"/>
              <w:ind w:firstLineChars="400" w:firstLine="720"/>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t>1</w:t>
            </w:r>
            <w:r>
              <w:rPr>
                <w:rFonts w:ascii="Times New Roman" w:hAnsi="Times New Roman" w:cs="Times New Roman"/>
                <w:sz w:val="18"/>
                <w:szCs w:val="18"/>
              </w:rPr>
              <w:t>）计提</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7,258,461.26</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1,899,929.90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 xml:space="preserve"> 9,158,391.16 </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hAnsi="Times New Roman" w:cs="Times New Roman"/>
                <w:sz w:val="18"/>
                <w:szCs w:val="18"/>
              </w:rPr>
            </w:pPr>
            <w:r>
              <w:rPr>
                <w:rFonts w:ascii="Times New Roman" w:hAnsi="Times New Roman" w:cs="Times New Roman"/>
                <w:sz w:val="18"/>
                <w:szCs w:val="18"/>
              </w:rPr>
              <w:t>3.</w:t>
            </w:r>
            <w:r>
              <w:rPr>
                <w:rFonts w:ascii="Times New Roman" w:hAnsi="Times New Roman" w:cs="Times New Roman"/>
                <w:sz w:val="18"/>
                <w:szCs w:val="18"/>
              </w:rPr>
              <w:t>本期减少金额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7,608,559.37</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7,608,559.37</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1</w:t>
            </w:r>
            <w:r>
              <w:rPr>
                <w:rFonts w:ascii="Times New Roman" w:hAnsi="Times New Roman" w:cs="Times New Roman"/>
                <w:color w:val="000000"/>
                <w:sz w:val="18"/>
                <w:szCs w:val="18"/>
              </w:rPr>
              <w:t>）转租赁为融资租赁</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1,352,587.09</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1,352,587.09</w:t>
            </w:r>
          </w:p>
        </w:tc>
      </w:tr>
      <w:tr w:rsidR="00403CD6">
        <w:trPr>
          <w:trHeight w:val="284"/>
        </w:trPr>
        <w:tc>
          <w:tcPr>
            <w:tcW w:w="2615" w:type="dxa"/>
            <w:shd w:val="clear" w:color="auto" w:fill="D3D3D3"/>
            <w:vAlign w:val="center"/>
          </w:tcPr>
          <w:p w:rsidR="00403CD6" w:rsidRDefault="00E91A59">
            <w:pPr>
              <w:rPr>
                <w:rFonts w:ascii="Times New Roman" w:hAnsi="Times New Roman" w:cs="Times New Roman"/>
                <w:sz w:val="18"/>
                <w:szCs w:val="18"/>
              </w:rPr>
            </w:pPr>
            <w:r>
              <w:rPr>
                <w:rFonts w:ascii="Times New Roman" w:hAnsi="Times New Roman" w:cs="Times New Roman"/>
                <w:color w:val="000000"/>
                <w:sz w:val="18"/>
                <w:szCs w:val="18"/>
              </w:rPr>
              <w:t xml:space="preserve">    </w:t>
            </w:r>
            <w:r>
              <w:rPr>
                <w:rFonts w:ascii="Times New Roman" w:hAnsi="Times New Roman" w:cs="Times New Roman"/>
                <w:color w:val="000000"/>
                <w:sz w:val="18"/>
                <w:szCs w:val="18"/>
              </w:rPr>
              <w:t>（</w:t>
            </w:r>
            <w:r>
              <w:rPr>
                <w:rFonts w:ascii="Times New Roman" w:hAnsi="Times New Roman" w:cs="Times New Roman"/>
                <w:color w:val="000000"/>
                <w:sz w:val="18"/>
                <w:szCs w:val="18"/>
              </w:rPr>
              <w:t>2</w:t>
            </w:r>
            <w:r>
              <w:rPr>
                <w:rFonts w:ascii="Times New Roman" w:hAnsi="Times New Roman" w:cs="Times New Roman"/>
                <w:color w:val="000000"/>
                <w:sz w:val="18"/>
                <w:szCs w:val="18"/>
              </w:rPr>
              <w:t>）转让或持有待售</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6,255,972.28</w:t>
            </w: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6,255,972.28</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34,120,660.16</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3,224,904.40</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37,345,564.56</w:t>
            </w:r>
          </w:p>
        </w:tc>
      </w:tr>
      <w:tr w:rsidR="00403CD6">
        <w:trPr>
          <w:trHeight w:val="284"/>
        </w:trPr>
        <w:tc>
          <w:tcPr>
            <w:tcW w:w="2615"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三、减值准备</w:t>
            </w:r>
          </w:p>
        </w:tc>
        <w:tc>
          <w:tcPr>
            <w:tcW w:w="2472" w:type="dxa"/>
            <w:shd w:val="clear" w:color="auto" w:fill="auto"/>
            <w:vAlign w:val="center"/>
          </w:tcPr>
          <w:p w:rsidR="00403CD6" w:rsidRDefault="00403CD6">
            <w:pPr>
              <w:jc w:val="right"/>
              <w:rPr>
                <w:rFonts w:ascii="Times New Roman" w:eastAsia="仿宋_GB2312" w:hAnsi="Times New Roman" w:cs="Times New Roman"/>
                <w:color w:val="000000"/>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2472"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2472"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2472"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2472"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四、账面价值</w:t>
            </w:r>
          </w:p>
        </w:tc>
        <w:tc>
          <w:tcPr>
            <w:tcW w:w="2472" w:type="dxa"/>
            <w:shd w:val="clear" w:color="auto" w:fill="auto"/>
            <w:vAlign w:val="center"/>
          </w:tcPr>
          <w:p w:rsidR="00403CD6" w:rsidRDefault="00403CD6">
            <w:pPr>
              <w:jc w:val="right"/>
              <w:rPr>
                <w:rFonts w:ascii="Times New Roman" w:eastAsia="仿宋_GB2312" w:hAnsi="Times New Roman" w:cs="Times New Roman"/>
                <w:color w:val="000000"/>
                <w:sz w:val="18"/>
                <w:szCs w:val="18"/>
              </w:rPr>
            </w:pPr>
          </w:p>
        </w:tc>
        <w:tc>
          <w:tcPr>
            <w:tcW w:w="2205"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2543" w:type="dxa"/>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期末账面价值</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158,752,150.65</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107,272,162.22</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266,024,312.87</w:t>
            </w:r>
          </w:p>
        </w:tc>
      </w:tr>
      <w:tr w:rsidR="00403CD6">
        <w:trPr>
          <w:trHeight w:val="284"/>
        </w:trPr>
        <w:tc>
          <w:tcPr>
            <w:tcW w:w="2615" w:type="dxa"/>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期初账面价值</w:t>
            </w:r>
          </w:p>
        </w:tc>
        <w:tc>
          <w:tcPr>
            <w:tcW w:w="24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宋体" w:hAnsi="Times New Roman" w:cs="Times New Roman"/>
                <w:sz w:val="18"/>
                <w:szCs w:val="18"/>
              </w:rPr>
              <w:t>163,618,448.74</w:t>
            </w:r>
          </w:p>
        </w:tc>
        <w:tc>
          <w:tcPr>
            <w:tcW w:w="2205"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宋体" w:hAnsi="Times New Roman" w:cs="Times New Roman"/>
                <w:sz w:val="18"/>
                <w:szCs w:val="18"/>
              </w:rPr>
              <w:t>4,196,862.76</w:t>
            </w:r>
          </w:p>
        </w:tc>
        <w:tc>
          <w:tcPr>
            <w:tcW w:w="254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167,815,311.50</w:t>
            </w:r>
          </w:p>
        </w:tc>
      </w:tr>
    </w:tbl>
    <w:p w:rsidR="00403CD6" w:rsidRDefault="00E91A59">
      <w:pPr>
        <w:snapToGrid w:val="0"/>
        <w:spacing w:beforeLines="50" w:before="156" w:afterLines="90" w:after="280"/>
        <w:rPr>
          <w:rFonts w:asciiTheme="minorEastAsia" w:hAnsiTheme="minorEastAsia" w:cstheme="minorEastAsia"/>
          <w:b/>
          <w:bCs/>
          <w:sz w:val="18"/>
          <w:szCs w:val="18"/>
        </w:rPr>
      </w:pPr>
      <w:r>
        <w:rPr>
          <w:rFonts w:asciiTheme="minorEastAsia" w:hAnsiTheme="minorEastAsia" w:cstheme="minorEastAsia" w:hint="eastAsia"/>
          <w:sz w:val="18"/>
          <w:szCs w:val="18"/>
        </w:rPr>
        <w:t>说明：其他减少原因系使用权资产入账价值是含税价，</w:t>
      </w:r>
      <w:proofErr w:type="gramStart"/>
      <w:r>
        <w:rPr>
          <w:rFonts w:asciiTheme="minorEastAsia" w:hAnsiTheme="minorEastAsia" w:cstheme="minorEastAsia" w:hint="eastAsia"/>
          <w:sz w:val="18"/>
          <w:szCs w:val="18"/>
        </w:rPr>
        <w:t>现收到</w:t>
      </w:r>
      <w:proofErr w:type="gramEnd"/>
      <w:r>
        <w:rPr>
          <w:rFonts w:asciiTheme="minorEastAsia" w:hAnsiTheme="minorEastAsia" w:cstheme="minorEastAsia" w:hint="eastAsia"/>
          <w:sz w:val="18"/>
          <w:szCs w:val="18"/>
        </w:rPr>
        <w:t>租赁发票进项税额冲减使用权资产账面价值。</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使用权资产的减值测试情况</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bookmarkStart w:id="75" w:name="_Toc989295"/>
      <w:r>
        <w:rPr>
          <w:rFonts w:ascii="宋体" w:eastAsia="宋体" w:hAnsi="宋体" w:cs="宋体" w:hint="eastAsia"/>
          <w:b/>
          <w:bCs/>
          <w:szCs w:val="21"/>
        </w:rPr>
        <w:lastRenderedPageBreak/>
        <w:t>19、无形资产</w:t>
      </w:r>
      <w:bookmarkEnd w:id="75"/>
    </w:p>
    <w:p w:rsidR="00403CD6" w:rsidRDefault="00E91A59">
      <w:pPr>
        <w:keepNext/>
        <w:keepLines/>
        <w:spacing w:before="300" w:after="300" w:line="280" w:lineRule="exact"/>
        <w:outlineLvl w:val="3"/>
        <w:rPr>
          <w:rFonts w:ascii="宋体" w:eastAsia="宋体" w:hAnsi="宋体" w:cs="宋体"/>
          <w:b/>
          <w:bCs/>
          <w:szCs w:val="21"/>
        </w:rPr>
      </w:pPr>
      <w:bookmarkStart w:id="76" w:name="_Toc989296"/>
      <w:r>
        <w:rPr>
          <w:rFonts w:ascii="宋体" w:eastAsia="宋体" w:hAnsi="宋体" w:cs="宋体" w:hint="eastAsia"/>
          <w:b/>
          <w:bCs/>
          <w:szCs w:val="21"/>
        </w:rPr>
        <w:t>（1） 无形资产情况</w:t>
      </w:r>
      <w:bookmarkEnd w:id="76"/>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6"/>
        <w:gridCol w:w="1697"/>
        <w:gridCol w:w="1703"/>
        <w:gridCol w:w="1419"/>
        <w:gridCol w:w="1419"/>
        <w:gridCol w:w="1519"/>
      </w:tblGrid>
      <w:tr w:rsidR="002A1A36" w:rsidTr="00F45AED">
        <w:trPr>
          <w:trHeight w:val="284"/>
        </w:trPr>
        <w:tc>
          <w:tcPr>
            <w:tcW w:w="10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861" w:type="pct"/>
            <w:shd w:val="clear" w:color="auto" w:fill="D3D3D3"/>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土地使用权</w:t>
            </w:r>
          </w:p>
        </w:tc>
        <w:tc>
          <w:tcPr>
            <w:tcW w:w="864" w:type="pct"/>
            <w:shd w:val="clear" w:color="auto" w:fill="D3D3D3"/>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软件</w:t>
            </w:r>
          </w:p>
        </w:tc>
        <w:tc>
          <w:tcPr>
            <w:tcW w:w="720" w:type="pct"/>
            <w:shd w:val="clear" w:color="auto" w:fill="D8D8D8" w:themeFill="background1" w:themeFillShade="D8"/>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专利权</w:t>
            </w:r>
          </w:p>
        </w:tc>
        <w:tc>
          <w:tcPr>
            <w:tcW w:w="720" w:type="pct"/>
            <w:shd w:val="clear" w:color="auto" w:fill="D8D8D8" w:themeFill="background1" w:themeFillShade="D8"/>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shd w:val="clear" w:color="auto" w:fill="D8D8D8" w:themeFill="background1" w:themeFillShade="D8"/>
              </w:rPr>
              <w:t>他项权证</w:t>
            </w:r>
          </w:p>
        </w:tc>
        <w:tc>
          <w:tcPr>
            <w:tcW w:w="771" w:type="pct"/>
            <w:shd w:val="clear" w:color="auto" w:fill="D8D8D8" w:themeFill="background1" w:themeFillShade="D8"/>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2A1A36" w:rsidTr="002A1A36">
        <w:trPr>
          <w:trHeight w:val="284"/>
        </w:trPr>
        <w:tc>
          <w:tcPr>
            <w:tcW w:w="106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一、账面原值</w:t>
            </w:r>
          </w:p>
        </w:tc>
        <w:tc>
          <w:tcPr>
            <w:tcW w:w="861" w:type="pct"/>
            <w:vAlign w:val="center"/>
          </w:tcPr>
          <w:p w:rsidR="00403CD6" w:rsidRDefault="00403CD6" w:rsidP="002A1A36">
            <w:pPr>
              <w:spacing w:line="240" w:lineRule="exact"/>
              <w:jc w:val="right"/>
              <w:rPr>
                <w:rFonts w:ascii="Times New Roman" w:eastAsia="宋体" w:hAnsi="Times New Roman" w:cs="Times New Roman"/>
                <w:sz w:val="18"/>
                <w:szCs w:val="18"/>
              </w:rPr>
            </w:pPr>
          </w:p>
        </w:tc>
        <w:tc>
          <w:tcPr>
            <w:tcW w:w="864" w:type="pct"/>
            <w:vAlign w:val="center"/>
          </w:tcPr>
          <w:p w:rsidR="00403CD6" w:rsidRDefault="00403CD6" w:rsidP="002A1A36">
            <w:pPr>
              <w:spacing w:line="240" w:lineRule="exact"/>
              <w:jc w:val="right"/>
              <w:rPr>
                <w:rFonts w:ascii="Times New Roman" w:eastAsia="宋体" w:hAnsi="Times New Roman" w:cs="Times New Roman"/>
                <w:sz w:val="18"/>
                <w:szCs w:val="18"/>
              </w:rPr>
            </w:pPr>
          </w:p>
        </w:tc>
        <w:tc>
          <w:tcPr>
            <w:tcW w:w="720" w:type="pct"/>
            <w:vAlign w:val="center"/>
          </w:tcPr>
          <w:p w:rsidR="00403CD6" w:rsidRDefault="00403CD6" w:rsidP="002A1A36">
            <w:pPr>
              <w:spacing w:line="240" w:lineRule="exact"/>
              <w:jc w:val="right"/>
              <w:rPr>
                <w:rFonts w:ascii="Times New Roman" w:eastAsia="宋体" w:hAnsi="Times New Roman" w:cs="Times New Roman"/>
                <w:sz w:val="18"/>
                <w:szCs w:val="18"/>
              </w:rPr>
            </w:pPr>
          </w:p>
        </w:tc>
        <w:tc>
          <w:tcPr>
            <w:tcW w:w="720" w:type="pct"/>
            <w:vAlign w:val="center"/>
          </w:tcPr>
          <w:p w:rsidR="00403CD6" w:rsidRDefault="00403CD6" w:rsidP="002A1A36">
            <w:pPr>
              <w:spacing w:line="240" w:lineRule="exact"/>
              <w:jc w:val="right"/>
              <w:rPr>
                <w:rFonts w:ascii="Times New Roman" w:eastAsia="宋体" w:hAnsi="Times New Roman" w:cs="Times New Roman"/>
                <w:sz w:val="18"/>
                <w:szCs w:val="18"/>
              </w:rPr>
            </w:pPr>
          </w:p>
        </w:tc>
        <w:tc>
          <w:tcPr>
            <w:tcW w:w="771" w:type="pct"/>
            <w:vAlign w:val="center"/>
          </w:tcPr>
          <w:p w:rsidR="00403CD6" w:rsidRDefault="00403CD6" w:rsidP="002A1A36">
            <w:pPr>
              <w:spacing w:line="240" w:lineRule="exact"/>
              <w:jc w:val="right"/>
              <w:rPr>
                <w:rFonts w:ascii="Times New Roman" w:eastAsia="宋体"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6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2,525,157,831.82</w:t>
            </w:r>
          </w:p>
        </w:tc>
        <w:tc>
          <w:tcPr>
            <w:tcW w:w="864"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23,309,148.71</w:t>
            </w:r>
          </w:p>
        </w:tc>
        <w:tc>
          <w:tcPr>
            <w:tcW w:w="720"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27,493,613.05</w:t>
            </w:r>
          </w:p>
        </w:tc>
        <w:tc>
          <w:tcPr>
            <w:tcW w:w="720"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15,908,674.87</w:t>
            </w:r>
          </w:p>
        </w:tc>
        <w:tc>
          <w:tcPr>
            <w:tcW w:w="77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2,591,869,268.45</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6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20,708,694.00</w:t>
            </w:r>
          </w:p>
        </w:tc>
        <w:tc>
          <w:tcPr>
            <w:tcW w:w="864"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20,708,694.00</w:t>
            </w:r>
          </w:p>
        </w:tc>
      </w:tr>
      <w:tr w:rsidR="002A1A36" w:rsidTr="002A1A36">
        <w:trPr>
          <w:trHeight w:val="284"/>
        </w:trPr>
        <w:tc>
          <w:tcPr>
            <w:tcW w:w="1064" w:type="pct"/>
            <w:shd w:val="clear" w:color="auto" w:fill="D3D3D3"/>
            <w:vAlign w:val="center"/>
          </w:tcPr>
          <w:p w:rsidR="00403CD6" w:rsidRDefault="00E91A59" w:rsidP="00F45AED">
            <w:pPr>
              <w:spacing w:before="40" w:after="40" w:line="240" w:lineRule="exact"/>
              <w:ind w:firstLineChars="150" w:firstLine="27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w:t>
            </w:r>
            <w:r>
              <w:rPr>
                <w:rFonts w:ascii="Times New Roman" w:eastAsia="宋体" w:hAnsi="Times New Roman" w:cs="Times New Roman" w:hint="eastAsia"/>
                <w:sz w:val="18"/>
                <w:szCs w:val="18"/>
              </w:rPr>
              <w:t>债务重组增加</w:t>
            </w:r>
          </w:p>
        </w:tc>
        <w:tc>
          <w:tcPr>
            <w:tcW w:w="86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20,708,694.00</w:t>
            </w:r>
          </w:p>
        </w:tc>
        <w:tc>
          <w:tcPr>
            <w:tcW w:w="864"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rsidP="002A1A3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2A1A3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20,708,694.00</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61" w:type="pct"/>
            <w:shd w:val="clear" w:color="auto" w:fill="auto"/>
            <w:vAlign w:val="center"/>
          </w:tcPr>
          <w:p w:rsidR="00403CD6" w:rsidRDefault="002A1A36" w:rsidP="00DC5F47">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350,101,394.77</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344,645.70</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2A1A36" w:rsidP="00DC5F47">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350,446,040.47</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43,294,094.77</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344,645.70</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43,638,740.47</w:t>
            </w:r>
          </w:p>
        </w:tc>
      </w:tr>
      <w:tr w:rsidR="002A1A36" w:rsidTr="002A1A36">
        <w:trPr>
          <w:trHeight w:val="284"/>
        </w:trPr>
        <w:tc>
          <w:tcPr>
            <w:tcW w:w="1064" w:type="pct"/>
            <w:shd w:val="clear" w:color="auto" w:fill="D3D3D3"/>
            <w:vAlign w:val="center"/>
          </w:tcPr>
          <w:p w:rsidR="002A1A36" w:rsidRDefault="002A1A36" w:rsidP="00F45AED">
            <w:pPr>
              <w:spacing w:before="40" w:after="40" w:line="240" w:lineRule="exact"/>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2</w:t>
            </w:r>
            <w:r w:rsidRPr="00F45AED">
              <w:rPr>
                <w:rFonts w:ascii="Times New Roman" w:eastAsia="宋体" w:hAnsi="Times New Roman" w:cs="Times New Roman" w:hint="eastAsia"/>
                <w:sz w:val="18"/>
                <w:szCs w:val="18"/>
              </w:rPr>
              <w:t>）其他减少</w:t>
            </w:r>
          </w:p>
        </w:tc>
        <w:tc>
          <w:tcPr>
            <w:tcW w:w="861" w:type="pct"/>
            <w:shd w:val="clear" w:color="auto" w:fill="auto"/>
            <w:vAlign w:val="center"/>
          </w:tcPr>
          <w:p w:rsidR="002A1A36" w:rsidRDefault="002A1A36" w:rsidP="00137726">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306,807,300.00</w:t>
            </w:r>
          </w:p>
        </w:tc>
        <w:tc>
          <w:tcPr>
            <w:tcW w:w="864"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20"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20"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71" w:type="pct"/>
            <w:shd w:val="clear" w:color="auto" w:fill="auto"/>
            <w:vAlign w:val="center"/>
          </w:tcPr>
          <w:p w:rsidR="002A1A36" w:rsidRDefault="002A1A36" w:rsidP="00F45AED">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306,807,300.00</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61" w:type="pct"/>
            <w:shd w:val="clear" w:color="auto" w:fill="auto"/>
            <w:vAlign w:val="center"/>
          </w:tcPr>
          <w:p w:rsidR="00403CD6" w:rsidRDefault="002A1A36" w:rsidP="00DC5F47">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2,195,765,131.05</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22,964,503.01</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27,493,613.05</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15,908,674.87</w:t>
            </w:r>
          </w:p>
        </w:tc>
        <w:tc>
          <w:tcPr>
            <w:tcW w:w="771" w:type="pct"/>
            <w:shd w:val="clear" w:color="auto" w:fill="auto"/>
            <w:vAlign w:val="center"/>
          </w:tcPr>
          <w:p w:rsidR="00403CD6" w:rsidRDefault="002A1A36" w:rsidP="00F45AED">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2,262,131,921.98</w:t>
            </w:r>
          </w:p>
        </w:tc>
      </w:tr>
      <w:tr w:rsidR="002A1A36" w:rsidTr="002A1A36">
        <w:trPr>
          <w:trHeight w:val="284"/>
        </w:trPr>
        <w:tc>
          <w:tcPr>
            <w:tcW w:w="106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二、累计摊销</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549,448,621.95</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22,999,984.34</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1,151,095.44</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15,908,674.87</w:t>
            </w: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589,508,376.60</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52,576,156.98</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505,587.99</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522,553.77</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53,604,298.74</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）计提</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52,576,156.98</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505,587.99</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522,553.77</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53,604,298.74</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61" w:type="pct"/>
            <w:shd w:val="clear" w:color="auto" w:fill="auto"/>
            <w:vAlign w:val="center"/>
          </w:tcPr>
          <w:p w:rsidR="00403CD6" w:rsidRDefault="002A1A36" w:rsidP="00137726">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32,407,129.83</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841,407.10</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2A1A36" w:rsidP="00DC5F47">
            <w:pPr>
              <w:widowControl/>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33,248,536.93</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400" w:firstLine="720"/>
              <w:rPr>
                <w:rFonts w:ascii="Times New Roman" w:eastAsia="宋体" w:hAnsi="Times New Roman" w:cs="Times New Roman"/>
                <w:sz w:val="18"/>
                <w:szCs w:val="18"/>
              </w:rPr>
            </w:pPr>
            <w:r>
              <w:rPr>
                <w:rFonts w:ascii="Times New Roman" w:eastAsia="宋体" w:hAnsi="Times New Roman" w:cs="Times New Roman"/>
                <w:sz w:val="18"/>
                <w:szCs w:val="18"/>
              </w:rPr>
              <w:t>（</w:t>
            </w:r>
            <w:r>
              <w:rPr>
                <w:rFonts w:ascii="Times New Roman" w:eastAsia="宋体" w:hAnsi="Times New Roman" w:cs="Times New Roman"/>
                <w:sz w:val="18"/>
                <w:szCs w:val="18"/>
              </w:rPr>
              <w:t>1</w:t>
            </w:r>
            <w:r>
              <w:rPr>
                <w:rFonts w:ascii="Times New Roman" w:eastAsia="宋体" w:hAnsi="Times New Roman" w:cs="Times New Roman"/>
                <w:sz w:val="18"/>
                <w:szCs w:val="18"/>
              </w:rPr>
              <w:t>）处置</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13,832,242.59</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841,407.10</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14,673,649.69</w:t>
            </w:r>
          </w:p>
        </w:tc>
      </w:tr>
      <w:tr w:rsidR="002A1A36" w:rsidTr="00F45AED">
        <w:trPr>
          <w:trHeight w:val="284"/>
        </w:trPr>
        <w:tc>
          <w:tcPr>
            <w:tcW w:w="1064" w:type="pct"/>
            <w:shd w:val="clear" w:color="auto" w:fill="D3D3D3"/>
            <w:vAlign w:val="center"/>
          </w:tcPr>
          <w:p w:rsidR="002A1A36" w:rsidRDefault="002A1A36" w:rsidP="00F45AED">
            <w:pPr>
              <w:spacing w:before="40" w:after="40" w:line="240" w:lineRule="exact"/>
              <w:ind w:firstLineChars="200" w:firstLine="360"/>
              <w:rPr>
                <w:rFonts w:ascii="Times New Roman" w:eastAsia="宋体" w:hAnsi="Times New Roman" w:cs="Times New Roman"/>
                <w:sz w:val="18"/>
                <w:szCs w:val="18"/>
              </w:rPr>
            </w:pPr>
            <w:r w:rsidRPr="00F45AED">
              <w:rPr>
                <w:rFonts w:ascii="Times New Roman" w:eastAsia="宋体" w:hAnsi="Times New Roman" w:cs="Times New Roman" w:hint="eastAsia"/>
                <w:sz w:val="18"/>
                <w:szCs w:val="18"/>
              </w:rPr>
              <w:t>（</w:t>
            </w:r>
            <w:r w:rsidRPr="00F45AED">
              <w:rPr>
                <w:rFonts w:ascii="Times New Roman" w:eastAsia="宋体" w:hAnsi="Times New Roman" w:cs="Times New Roman"/>
                <w:sz w:val="18"/>
                <w:szCs w:val="18"/>
              </w:rPr>
              <w:t>2</w:t>
            </w:r>
            <w:r w:rsidRPr="00F45AED">
              <w:rPr>
                <w:rFonts w:ascii="Times New Roman" w:eastAsia="宋体" w:hAnsi="Times New Roman" w:cs="Times New Roman" w:hint="eastAsia"/>
                <w:sz w:val="18"/>
                <w:szCs w:val="18"/>
              </w:rPr>
              <w:t>）其他减少</w:t>
            </w:r>
          </w:p>
        </w:tc>
        <w:tc>
          <w:tcPr>
            <w:tcW w:w="861" w:type="pct"/>
            <w:shd w:val="clear" w:color="auto" w:fill="auto"/>
            <w:vAlign w:val="center"/>
          </w:tcPr>
          <w:p w:rsidR="002A1A36" w:rsidRDefault="002A1A36" w:rsidP="00137726">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18,574,887.24</w:t>
            </w:r>
          </w:p>
        </w:tc>
        <w:tc>
          <w:tcPr>
            <w:tcW w:w="864"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20"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20" w:type="pct"/>
            <w:shd w:val="clear" w:color="auto" w:fill="auto"/>
            <w:vAlign w:val="center"/>
          </w:tcPr>
          <w:p w:rsidR="002A1A36" w:rsidRDefault="002A1A36">
            <w:pPr>
              <w:jc w:val="right"/>
              <w:rPr>
                <w:rFonts w:ascii="Times New Roman" w:eastAsia="仿宋_GB2312" w:hAnsi="Times New Roman" w:cs="Times New Roman"/>
                <w:sz w:val="18"/>
                <w:szCs w:val="18"/>
              </w:rPr>
            </w:pPr>
          </w:p>
        </w:tc>
        <w:tc>
          <w:tcPr>
            <w:tcW w:w="771" w:type="pct"/>
            <w:shd w:val="clear" w:color="auto" w:fill="auto"/>
            <w:vAlign w:val="center"/>
          </w:tcPr>
          <w:p w:rsidR="002A1A36" w:rsidRDefault="002A1A36" w:rsidP="00F45AED">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18,574,887.24</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61" w:type="pct"/>
            <w:shd w:val="clear" w:color="auto" w:fill="auto"/>
            <w:vAlign w:val="center"/>
          </w:tcPr>
          <w:p w:rsidR="00403CD6" w:rsidRDefault="002A1A36" w:rsidP="00DC5F47">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569,617,649.10</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22,664,165.23</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1,673,649.21</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15,908,674.87</w:t>
            </w:r>
          </w:p>
        </w:tc>
        <w:tc>
          <w:tcPr>
            <w:tcW w:w="771" w:type="pct"/>
            <w:shd w:val="clear" w:color="auto" w:fill="auto"/>
            <w:vAlign w:val="center"/>
          </w:tcPr>
          <w:p w:rsidR="00403CD6" w:rsidRDefault="002A1A36" w:rsidP="00DC5F47">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609,864,138.41</w:t>
            </w:r>
          </w:p>
        </w:tc>
      </w:tr>
      <w:tr w:rsidR="002A1A36" w:rsidTr="002A1A36">
        <w:trPr>
          <w:trHeight w:val="284"/>
        </w:trPr>
        <w:tc>
          <w:tcPr>
            <w:tcW w:w="106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三、减值准备</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期初余额</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本期增加金额</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本期减少金额</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期末余额</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四、账面价值</w:t>
            </w:r>
          </w:p>
        </w:tc>
        <w:tc>
          <w:tcPr>
            <w:tcW w:w="861" w:type="pct"/>
            <w:shd w:val="clear" w:color="auto" w:fill="auto"/>
            <w:vAlign w:val="center"/>
          </w:tcPr>
          <w:p w:rsidR="00403CD6" w:rsidRDefault="00403CD6" w:rsidP="00137726">
            <w:pPr>
              <w:jc w:val="right"/>
              <w:rPr>
                <w:rFonts w:ascii="Times New Roman" w:eastAsia="仿宋_GB2312" w:hAnsi="Times New Roman" w:cs="Times New Roman"/>
                <w:sz w:val="18"/>
                <w:szCs w:val="18"/>
              </w:rPr>
            </w:pPr>
          </w:p>
        </w:tc>
        <w:tc>
          <w:tcPr>
            <w:tcW w:w="864"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期末账面价值</w:t>
            </w:r>
          </w:p>
        </w:tc>
        <w:tc>
          <w:tcPr>
            <w:tcW w:w="861" w:type="pct"/>
            <w:shd w:val="clear" w:color="auto" w:fill="auto"/>
            <w:vAlign w:val="center"/>
          </w:tcPr>
          <w:p w:rsidR="00403CD6" w:rsidRDefault="002A1A36" w:rsidP="00137726">
            <w:pPr>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1,626,147,481.95</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300,337.78</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25,819,963.84</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2A1A36" w:rsidP="00DC5F47">
            <w:pPr>
              <w:widowControl/>
              <w:jc w:val="right"/>
              <w:rPr>
                <w:rFonts w:ascii="Times New Roman" w:eastAsia="仿宋_GB2312" w:hAnsi="Times New Roman" w:cs="Times New Roman"/>
                <w:sz w:val="18"/>
                <w:szCs w:val="18"/>
              </w:rPr>
            </w:pPr>
            <w:r w:rsidRPr="00F45AED">
              <w:rPr>
                <w:rFonts w:ascii="Times New Roman" w:eastAsia="仿宋_GB2312" w:hAnsi="Times New Roman" w:cs="Times New Roman"/>
                <w:sz w:val="18"/>
                <w:szCs w:val="18"/>
              </w:rPr>
              <w:t>1,652,267,783.57</w:t>
            </w:r>
          </w:p>
        </w:tc>
      </w:tr>
      <w:tr w:rsidR="002A1A36" w:rsidTr="002A1A36">
        <w:trPr>
          <w:trHeight w:val="284"/>
        </w:trPr>
        <w:tc>
          <w:tcPr>
            <w:tcW w:w="1064"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期初账面价值</w:t>
            </w:r>
          </w:p>
        </w:tc>
        <w:tc>
          <w:tcPr>
            <w:tcW w:w="861" w:type="pct"/>
            <w:shd w:val="clear" w:color="auto" w:fill="auto"/>
            <w:vAlign w:val="center"/>
          </w:tcPr>
          <w:p w:rsidR="00403CD6" w:rsidRDefault="00E91A59" w:rsidP="00137726">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1,975,709,209.87</w:t>
            </w:r>
          </w:p>
        </w:tc>
        <w:tc>
          <w:tcPr>
            <w:tcW w:w="864"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309,164.37</w:t>
            </w:r>
          </w:p>
        </w:tc>
        <w:tc>
          <w:tcPr>
            <w:tcW w:w="720"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26,342,517.61</w:t>
            </w:r>
          </w:p>
        </w:tc>
        <w:tc>
          <w:tcPr>
            <w:tcW w:w="72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71" w:type="pct"/>
            <w:shd w:val="clear" w:color="auto" w:fill="auto"/>
            <w:vAlign w:val="center"/>
          </w:tcPr>
          <w:p w:rsidR="00403CD6" w:rsidRDefault="00E91A59" w:rsidP="00F45AED">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2,002,360,891.85</w:t>
            </w:r>
          </w:p>
        </w:tc>
      </w:tr>
    </w:tbl>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本期末通过公司内部研发形成的无形资产占无形资产余额的比例为</w:t>
      </w:r>
      <w:r>
        <w:rPr>
          <w:rFonts w:ascii="Times New Roman" w:eastAsia="宋体" w:hAnsi="Times New Roman" w:cs="Times New Roman"/>
          <w:sz w:val="18"/>
          <w:szCs w:val="18"/>
        </w:rPr>
        <w:t>0</w:t>
      </w:r>
      <w:r>
        <w:rPr>
          <w:rFonts w:ascii="Times New Roman" w:eastAsia="宋体" w:hAnsi="Times New Roman" w:cs="Times New Roman"/>
          <w:sz w:val="18"/>
          <w:szCs w:val="18"/>
        </w:rPr>
        <w:t>。</w:t>
      </w:r>
    </w:p>
    <w:p w:rsidR="00403CD6" w:rsidRDefault="00E91A59">
      <w:pPr>
        <w:pStyle w:val="a0"/>
        <w:spacing w:afterLines="50" w:after="156"/>
        <w:ind w:firstLine="0"/>
        <w:rPr>
          <w:rFonts w:eastAsiaTheme="minorEastAsia"/>
          <w:sz w:val="18"/>
          <w:szCs w:val="18"/>
        </w:rPr>
      </w:pPr>
      <w:r>
        <w:rPr>
          <w:rFonts w:eastAsiaTheme="minorEastAsia"/>
          <w:sz w:val="18"/>
          <w:szCs w:val="18"/>
        </w:rPr>
        <w:t>（</w:t>
      </w:r>
      <w:r>
        <w:rPr>
          <w:rFonts w:eastAsiaTheme="minorEastAsia"/>
          <w:sz w:val="18"/>
          <w:szCs w:val="18"/>
        </w:rPr>
        <w:t>1</w:t>
      </w:r>
      <w:r>
        <w:rPr>
          <w:rFonts w:eastAsiaTheme="minorEastAsia"/>
          <w:sz w:val="18"/>
          <w:szCs w:val="18"/>
        </w:rPr>
        <w:t>）所有权受限情况详见附注</w:t>
      </w:r>
      <w:r>
        <w:rPr>
          <w:rFonts w:eastAsiaTheme="minorEastAsia" w:hint="eastAsia"/>
          <w:sz w:val="18"/>
          <w:szCs w:val="18"/>
        </w:rPr>
        <w:t>七</w:t>
      </w:r>
      <w:r>
        <w:rPr>
          <w:rFonts w:eastAsiaTheme="minorEastAsia"/>
          <w:sz w:val="18"/>
          <w:szCs w:val="18"/>
        </w:rPr>
        <w:t>、</w:t>
      </w:r>
      <w:r>
        <w:rPr>
          <w:rFonts w:eastAsiaTheme="minorEastAsia"/>
          <w:sz w:val="18"/>
          <w:szCs w:val="18"/>
        </w:rPr>
        <w:t>24</w:t>
      </w:r>
      <w:r>
        <w:rPr>
          <w:rFonts w:eastAsiaTheme="minorEastAsia"/>
          <w:sz w:val="18"/>
          <w:szCs w:val="18"/>
        </w:rPr>
        <w:t>。</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确认为无形资产的数据资源</w:t>
      </w:r>
    </w:p>
    <w:p w:rsidR="00403CD6" w:rsidRDefault="00E91A59">
      <w:pPr>
        <w:spacing w:before="100" w:after="100" w:line="240" w:lineRule="exact"/>
        <w:rPr>
          <w:rFonts w:asciiTheme="minorEastAsia" w:hAnsiTheme="minorEastAsia" w:cs="Times New Roman"/>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before="100" w:after="100" w:line="240" w:lineRule="exact"/>
        <w:rPr>
          <w:rFonts w:ascii="宋体" w:eastAsia="宋体" w:hAnsi="宋体" w:cs="宋体"/>
          <w:b/>
          <w:bCs/>
          <w:szCs w:val="21"/>
        </w:rPr>
      </w:pPr>
      <w:r>
        <w:rPr>
          <w:rFonts w:ascii="宋体" w:eastAsia="宋体" w:hAnsi="宋体" w:cs="宋体" w:hint="eastAsia"/>
          <w:b/>
          <w:bCs/>
          <w:szCs w:val="21"/>
        </w:rPr>
        <w:t>（3） 未办妥产权证书的土地使用权情况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未办妥产权证书的原因</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寿光坤和贸易有限公司</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71,821,374.49</w:t>
            </w:r>
          </w:p>
        </w:tc>
        <w:tc>
          <w:tcPr>
            <w:tcW w:w="1665"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正在办理中</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山东晨鸣纸业集团股份有限公司</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1,325,945.32</w:t>
            </w:r>
          </w:p>
        </w:tc>
        <w:tc>
          <w:tcPr>
            <w:tcW w:w="1665"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正在办理中</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56,507,180.99</w:t>
            </w:r>
          </w:p>
        </w:tc>
        <w:tc>
          <w:tcPr>
            <w:tcW w:w="1665"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正在办理中</w:t>
            </w:r>
          </w:p>
        </w:tc>
      </w:tr>
      <w:tr w:rsidR="00403CD6">
        <w:trPr>
          <w:trHeight w:val="284"/>
        </w:trPr>
        <w:tc>
          <w:tcPr>
            <w:tcW w:w="1667" w:type="pct"/>
            <w:shd w:val="clear" w:color="auto" w:fill="D9D9D9" w:themeFill="background1" w:themeFillShade="D9"/>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129,654,500.80</w:t>
            </w:r>
          </w:p>
        </w:tc>
        <w:tc>
          <w:tcPr>
            <w:tcW w:w="1665" w:type="pct"/>
            <w:vAlign w:val="center"/>
          </w:tcPr>
          <w:p w:rsidR="00403CD6" w:rsidRDefault="00403CD6">
            <w:pPr>
              <w:spacing w:line="240" w:lineRule="exact"/>
              <w:jc w:val="center"/>
              <w:rPr>
                <w:rFonts w:ascii="Times New Roman" w:eastAsia="宋体"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bookmarkStart w:id="77" w:name="_Toc989299"/>
      <w:r>
        <w:rPr>
          <w:rFonts w:ascii="宋体" w:eastAsia="宋体" w:hAnsi="宋体" w:cs="宋体" w:hint="eastAsia"/>
          <w:b/>
          <w:bCs/>
          <w:szCs w:val="21"/>
        </w:rPr>
        <w:lastRenderedPageBreak/>
        <w:t>（4） 无形资产的减值测试情况</w:t>
      </w:r>
      <w:bookmarkEnd w:id="77"/>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Lines/>
        <w:spacing w:before="300" w:after="300" w:line="280" w:lineRule="exact"/>
        <w:outlineLvl w:val="2"/>
        <w:rPr>
          <w:rFonts w:ascii="宋体" w:eastAsia="宋体" w:hAnsi="宋体" w:cs="宋体"/>
          <w:b/>
          <w:bCs/>
          <w:szCs w:val="21"/>
        </w:rPr>
      </w:pPr>
      <w:bookmarkStart w:id="78" w:name="_Toc989300"/>
      <w:r>
        <w:rPr>
          <w:rFonts w:ascii="宋体" w:eastAsia="宋体" w:hAnsi="宋体" w:cs="宋体" w:hint="eastAsia"/>
          <w:b/>
          <w:bCs/>
          <w:szCs w:val="21"/>
        </w:rPr>
        <w:t>20、商誉</w:t>
      </w:r>
      <w:bookmarkEnd w:id="78"/>
    </w:p>
    <w:p w:rsidR="00403CD6" w:rsidRDefault="00E91A59">
      <w:pPr>
        <w:keepLines/>
        <w:spacing w:before="300" w:after="300" w:line="280" w:lineRule="exact"/>
        <w:outlineLvl w:val="3"/>
        <w:rPr>
          <w:rFonts w:ascii="宋体" w:eastAsia="宋体" w:hAnsi="宋体" w:cs="宋体"/>
          <w:b/>
          <w:bCs/>
          <w:szCs w:val="21"/>
        </w:rPr>
      </w:pPr>
      <w:bookmarkStart w:id="79" w:name="_Toc989301"/>
      <w:r>
        <w:rPr>
          <w:rFonts w:ascii="宋体" w:eastAsia="宋体" w:hAnsi="宋体" w:cs="宋体" w:hint="eastAsia"/>
          <w:b/>
          <w:bCs/>
          <w:szCs w:val="21"/>
        </w:rPr>
        <w:t>（1） 商誉账面原值</w:t>
      </w:r>
      <w:bookmarkEnd w:id="79"/>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4"/>
        <w:gridCol w:w="1987"/>
        <w:gridCol w:w="1557"/>
        <w:gridCol w:w="1702"/>
        <w:gridCol w:w="1438"/>
      </w:tblGrid>
      <w:tr w:rsidR="00403CD6">
        <w:trPr>
          <w:trHeight w:val="284"/>
        </w:trPr>
        <w:tc>
          <w:tcPr>
            <w:tcW w:w="157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被投资单位名称或形成商誉的事项</w:t>
            </w:r>
          </w:p>
        </w:tc>
        <w:tc>
          <w:tcPr>
            <w:tcW w:w="1017"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79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87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736"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579" w:type="pct"/>
            <w:vMerge/>
            <w:vAlign w:val="center"/>
          </w:tcPr>
          <w:p w:rsidR="00403CD6" w:rsidRDefault="00403CD6">
            <w:pPr>
              <w:widowControl/>
              <w:rPr>
                <w:rFonts w:ascii="Times New Roman" w:eastAsia="宋体" w:hAnsi="Times New Roman" w:cs="Times New Roman"/>
                <w:sz w:val="18"/>
                <w:szCs w:val="18"/>
              </w:rPr>
            </w:pPr>
          </w:p>
        </w:tc>
        <w:tc>
          <w:tcPr>
            <w:tcW w:w="1017" w:type="pct"/>
            <w:vMerge/>
            <w:vAlign w:val="center"/>
          </w:tcPr>
          <w:p w:rsidR="00403CD6" w:rsidRDefault="00403CD6">
            <w:pPr>
              <w:widowControl/>
              <w:rPr>
                <w:rFonts w:ascii="Times New Roman" w:eastAsia="宋体" w:hAnsi="Times New Roman" w:cs="Times New Roman"/>
                <w:sz w:val="18"/>
                <w:szCs w:val="18"/>
              </w:rPr>
            </w:pPr>
          </w:p>
        </w:tc>
        <w:tc>
          <w:tcPr>
            <w:tcW w:w="79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企业合并形成的</w:t>
            </w:r>
          </w:p>
        </w:tc>
        <w:tc>
          <w:tcPr>
            <w:tcW w:w="87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处置</w:t>
            </w:r>
          </w:p>
        </w:tc>
        <w:tc>
          <w:tcPr>
            <w:tcW w:w="736"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579"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sz w:val="18"/>
                <w:szCs w:val="18"/>
              </w:rPr>
              <w:t>吉林晨鸣纸业有限责任公司</w:t>
            </w:r>
          </w:p>
        </w:tc>
        <w:tc>
          <w:tcPr>
            <w:tcW w:w="101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14,314,160.60</w:t>
            </w:r>
          </w:p>
        </w:tc>
        <w:tc>
          <w:tcPr>
            <w:tcW w:w="797" w:type="pct"/>
            <w:vAlign w:val="center"/>
          </w:tcPr>
          <w:p w:rsidR="00403CD6" w:rsidRDefault="00403CD6">
            <w:pPr>
              <w:jc w:val="right"/>
              <w:rPr>
                <w:rFonts w:ascii="Times New Roman" w:hAnsi="Times New Roman" w:cs="Times New Roman"/>
                <w:sz w:val="18"/>
                <w:szCs w:val="18"/>
              </w:rPr>
            </w:pPr>
          </w:p>
        </w:tc>
        <w:tc>
          <w:tcPr>
            <w:tcW w:w="871" w:type="pct"/>
            <w:vAlign w:val="center"/>
          </w:tcPr>
          <w:p w:rsidR="00403CD6" w:rsidRDefault="00403CD6">
            <w:pPr>
              <w:jc w:val="right"/>
              <w:rPr>
                <w:rFonts w:ascii="Times New Roman" w:hAnsi="Times New Roman" w:cs="Times New Roman"/>
                <w:sz w:val="18"/>
                <w:szCs w:val="18"/>
              </w:rPr>
            </w:pPr>
          </w:p>
        </w:tc>
        <w:tc>
          <w:tcPr>
            <w:tcW w:w="73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14,314,160.60</w:t>
            </w:r>
          </w:p>
        </w:tc>
      </w:tr>
      <w:tr w:rsidR="00403CD6">
        <w:trPr>
          <w:trHeight w:val="284"/>
        </w:trPr>
        <w:tc>
          <w:tcPr>
            <w:tcW w:w="1579" w:type="pct"/>
            <w:vAlign w:val="center"/>
          </w:tcPr>
          <w:p w:rsidR="00403CD6" w:rsidRDefault="00E91A59">
            <w:pPr>
              <w:autoSpaceDE w:val="0"/>
              <w:autoSpaceDN w:val="0"/>
              <w:adjustRightInd w:val="0"/>
              <w:snapToGrid w:val="0"/>
              <w:rPr>
                <w:rFonts w:ascii="Times New Roman" w:hAnsi="Times New Roman" w:cs="Times New Roman"/>
                <w:sz w:val="18"/>
                <w:szCs w:val="18"/>
              </w:rPr>
            </w:pPr>
            <w:proofErr w:type="gramStart"/>
            <w:r>
              <w:rPr>
                <w:rFonts w:ascii="Times New Roman" w:hAnsi="Times New Roman" w:cs="Times New Roman"/>
                <w:sz w:val="18"/>
                <w:szCs w:val="18"/>
              </w:rPr>
              <w:t>昆山拓安塑料</w:t>
            </w:r>
            <w:proofErr w:type="gramEnd"/>
            <w:r>
              <w:rPr>
                <w:rFonts w:ascii="Times New Roman" w:hAnsi="Times New Roman" w:cs="Times New Roman"/>
                <w:sz w:val="18"/>
                <w:szCs w:val="18"/>
              </w:rPr>
              <w:t>制品有限公司</w:t>
            </w:r>
          </w:p>
        </w:tc>
        <w:tc>
          <w:tcPr>
            <w:tcW w:w="101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26,946,905.38</w:t>
            </w:r>
          </w:p>
        </w:tc>
        <w:tc>
          <w:tcPr>
            <w:tcW w:w="797" w:type="pct"/>
            <w:vAlign w:val="center"/>
          </w:tcPr>
          <w:p w:rsidR="00403CD6" w:rsidRDefault="00403CD6">
            <w:pPr>
              <w:jc w:val="right"/>
              <w:rPr>
                <w:rFonts w:ascii="Times New Roman" w:hAnsi="Times New Roman" w:cs="Times New Roman"/>
                <w:sz w:val="18"/>
                <w:szCs w:val="18"/>
              </w:rPr>
            </w:pPr>
          </w:p>
        </w:tc>
        <w:tc>
          <w:tcPr>
            <w:tcW w:w="87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26,946,905.38</w:t>
            </w:r>
          </w:p>
        </w:tc>
        <w:tc>
          <w:tcPr>
            <w:tcW w:w="736" w:type="pct"/>
            <w:vAlign w:val="center"/>
          </w:tcPr>
          <w:p w:rsidR="00403CD6" w:rsidRDefault="00403CD6">
            <w:pPr>
              <w:jc w:val="right"/>
              <w:rPr>
                <w:rFonts w:ascii="Times New Roman" w:hAnsi="Times New Roman" w:cs="Times New Roman"/>
                <w:sz w:val="18"/>
                <w:szCs w:val="18"/>
              </w:rPr>
            </w:pPr>
          </w:p>
        </w:tc>
      </w:tr>
      <w:tr w:rsidR="00403CD6">
        <w:trPr>
          <w:trHeight w:val="284"/>
        </w:trPr>
        <w:tc>
          <w:tcPr>
            <w:tcW w:w="1579"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sz w:val="18"/>
                <w:szCs w:val="18"/>
              </w:rPr>
              <w:t>江西晨鸣港务有限责任公司</w:t>
            </w:r>
          </w:p>
        </w:tc>
        <w:tc>
          <w:tcPr>
            <w:tcW w:w="101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8,273,638.42</w:t>
            </w:r>
          </w:p>
        </w:tc>
        <w:tc>
          <w:tcPr>
            <w:tcW w:w="797" w:type="pct"/>
            <w:vAlign w:val="center"/>
          </w:tcPr>
          <w:p w:rsidR="00403CD6" w:rsidRDefault="00403CD6">
            <w:pPr>
              <w:jc w:val="right"/>
              <w:rPr>
                <w:rFonts w:ascii="Times New Roman" w:hAnsi="Times New Roman" w:cs="Times New Roman"/>
                <w:sz w:val="18"/>
                <w:szCs w:val="18"/>
              </w:rPr>
            </w:pPr>
          </w:p>
        </w:tc>
        <w:tc>
          <w:tcPr>
            <w:tcW w:w="871" w:type="pct"/>
            <w:vAlign w:val="center"/>
          </w:tcPr>
          <w:p w:rsidR="00403CD6" w:rsidRDefault="00403CD6">
            <w:pPr>
              <w:jc w:val="right"/>
              <w:rPr>
                <w:rFonts w:ascii="Times New Roman" w:hAnsi="Times New Roman" w:cs="Times New Roman"/>
                <w:sz w:val="18"/>
                <w:szCs w:val="18"/>
              </w:rPr>
            </w:pPr>
          </w:p>
        </w:tc>
        <w:tc>
          <w:tcPr>
            <w:tcW w:w="73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8,273,638.42</w:t>
            </w:r>
          </w:p>
        </w:tc>
      </w:tr>
      <w:tr w:rsidR="00403CD6">
        <w:trPr>
          <w:trHeight w:val="284"/>
        </w:trPr>
        <w:tc>
          <w:tcPr>
            <w:tcW w:w="1579"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101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49,534,704.40</w:t>
            </w:r>
          </w:p>
        </w:tc>
        <w:tc>
          <w:tcPr>
            <w:tcW w:w="797" w:type="pct"/>
            <w:vAlign w:val="center"/>
          </w:tcPr>
          <w:p w:rsidR="00403CD6" w:rsidRDefault="00403CD6">
            <w:pPr>
              <w:jc w:val="right"/>
              <w:rPr>
                <w:rFonts w:ascii="Times New Roman" w:hAnsi="Times New Roman" w:cs="Times New Roman"/>
                <w:sz w:val="18"/>
                <w:szCs w:val="18"/>
              </w:rPr>
            </w:pPr>
          </w:p>
        </w:tc>
        <w:tc>
          <w:tcPr>
            <w:tcW w:w="87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26,946,905.38</w:t>
            </w:r>
          </w:p>
        </w:tc>
        <w:tc>
          <w:tcPr>
            <w:tcW w:w="73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22,587,799.02</w:t>
            </w:r>
          </w:p>
        </w:tc>
      </w:tr>
    </w:tbl>
    <w:p w:rsidR="00403CD6" w:rsidRDefault="00E91A59">
      <w:pPr>
        <w:keepNext/>
        <w:keepLines/>
        <w:spacing w:before="300" w:after="300" w:line="280" w:lineRule="exact"/>
        <w:outlineLvl w:val="3"/>
        <w:rPr>
          <w:rFonts w:ascii="宋体" w:eastAsia="宋体" w:hAnsi="宋体" w:cs="宋体"/>
          <w:b/>
          <w:bCs/>
          <w:szCs w:val="21"/>
        </w:rPr>
      </w:pPr>
      <w:bookmarkStart w:id="80" w:name="_Toc989302"/>
      <w:r>
        <w:rPr>
          <w:rFonts w:ascii="宋体" w:eastAsia="宋体" w:hAnsi="宋体" w:cs="宋体" w:hint="eastAsia"/>
          <w:b/>
          <w:bCs/>
          <w:szCs w:val="21"/>
        </w:rPr>
        <w:t>（2） 商誉减值准备</w:t>
      </w:r>
      <w:bookmarkEnd w:id="80"/>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6"/>
        <w:gridCol w:w="1988"/>
        <w:gridCol w:w="1560"/>
        <w:gridCol w:w="1843"/>
        <w:gridCol w:w="1287"/>
      </w:tblGrid>
      <w:tr w:rsidR="00403CD6">
        <w:trPr>
          <w:trHeight w:val="284"/>
        </w:trPr>
        <w:tc>
          <w:tcPr>
            <w:tcW w:w="158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被投资单位名称或形成商誉的事项</w:t>
            </w:r>
          </w:p>
        </w:tc>
        <w:tc>
          <w:tcPr>
            <w:tcW w:w="101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7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94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66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580" w:type="pct"/>
            <w:vMerge/>
            <w:vAlign w:val="center"/>
          </w:tcPr>
          <w:p w:rsidR="00403CD6" w:rsidRDefault="00403CD6">
            <w:pPr>
              <w:widowControl/>
              <w:rPr>
                <w:rFonts w:ascii="Times New Roman" w:eastAsia="宋体" w:hAnsi="Times New Roman" w:cs="Times New Roman"/>
                <w:sz w:val="18"/>
                <w:szCs w:val="18"/>
              </w:rPr>
            </w:pPr>
          </w:p>
        </w:tc>
        <w:tc>
          <w:tcPr>
            <w:tcW w:w="1018" w:type="pct"/>
            <w:vMerge/>
            <w:vAlign w:val="center"/>
          </w:tcPr>
          <w:p w:rsidR="00403CD6" w:rsidRDefault="00403CD6">
            <w:pPr>
              <w:widowControl/>
              <w:rPr>
                <w:rFonts w:ascii="Times New Roman" w:eastAsia="宋体" w:hAnsi="Times New Roman" w:cs="Times New Roman"/>
                <w:sz w:val="18"/>
                <w:szCs w:val="18"/>
              </w:rPr>
            </w:pPr>
          </w:p>
        </w:tc>
        <w:tc>
          <w:tcPr>
            <w:tcW w:w="7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w:t>
            </w:r>
          </w:p>
        </w:tc>
        <w:tc>
          <w:tcPr>
            <w:tcW w:w="94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处置</w:t>
            </w:r>
          </w:p>
        </w:tc>
        <w:tc>
          <w:tcPr>
            <w:tcW w:w="660"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580"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sz w:val="18"/>
                <w:szCs w:val="18"/>
              </w:rPr>
              <w:t>吉林晨鸣纸业有限责任公司</w:t>
            </w:r>
          </w:p>
        </w:tc>
        <w:tc>
          <w:tcPr>
            <w:tcW w:w="101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14,314,160.60</w:t>
            </w:r>
          </w:p>
        </w:tc>
        <w:tc>
          <w:tcPr>
            <w:tcW w:w="799" w:type="pct"/>
            <w:vAlign w:val="center"/>
          </w:tcPr>
          <w:p w:rsidR="00403CD6" w:rsidRDefault="00403CD6">
            <w:pPr>
              <w:jc w:val="right"/>
              <w:rPr>
                <w:rFonts w:ascii="Times New Roman" w:hAnsi="Times New Roman" w:cs="Times New Roman"/>
                <w:sz w:val="18"/>
                <w:szCs w:val="18"/>
              </w:rPr>
            </w:pPr>
          </w:p>
        </w:tc>
        <w:tc>
          <w:tcPr>
            <w:tcW w:w="944" w:type="pct"/>
            <w:vAlign w:val="center"/>
          </w:tcPr>
          <w:p w:rsidR="00403CD6" w:rsidRDefault="00403CD6">
            <w:pPr>
              <w:jc w:val="right"/>
              <w:rPr>
                <w:rFonts w:ascii="Times New Roman" w:hAnsi="Times New Roman" w:cs="Times New Roman"/>
                <w:sz w:val="18"/>
                <w:szCs w:val="18"/>
              </w:rPr>
            </w:pPr>
          </w:p>
        </w:tc>
        <w:tc>
          <w:tcPr>
            <w:tcW w:w="6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14,314,160.60</w:t>
            </w:r>
          </w:p>
        </w:tc>
      </w:tr>
      <w:tr w:rsidR="00403CD6">
        <w:trPr>
          <w:trHeight w:val="284"/>
        </w:trPr>
        <w:tc>
          <w:tcPr>
            <w:tcW w:w="1580" w:type="pct"/>
            <w:vAlign w:val="center"/>
          </w:tcPr>
          <w:p w:rsidR="00403CD6" w:rsidRDefault="00E91A59">
            <w:pPr>
              <w:autoSpaceDE w:val="0"/>
              <w:autoSpaceDN w:val="0"/>
              <w:adjustRightInd w:val="0"/>
              <w:snapToGrid w:val="0"/>
              <w:rPr>
                <w:rFonts w:ascii="Times New Roman" w:hAnsi="Times New Roman" w:cs="Times New Roman"/>
                <w:sz w:val="18"/>
                <w:szCs w:val="18"/>
              </w:rPr>
            </w:pPr>
            <w:r>
              <w:rPr>
                <w:rFonts w:ascii="Times New Roman" w:hAnsi="Times New Roman" w:cs="Times New Roman"/>
                <w:sz w:val="18"/>
                <w:szCs w:val="18"/>
              </w:rPr>
              <w:t>江西晨鸣港务有限责任公司</w:t>
            </w:r>
          </w:p>
        </w:tc>
        <w:tc>
          <w:tcPr>
            <w:tcW w:w="1018" w:type="pct"/>
            <w:vAlign w:val="center"/>
          </w:tcPr>
          <w:p w:rsidR="00403CD6" w:rsidRDefault="00403CD6">
            <w:pPr>
              <w:jc w:val="right"/>
              <w:rPr>
                <w:rFonts w:ascii="Times New Roman" w:hAnsi="Times New Roman" w:cs="Times New Roman"/>
                <w:sz w:val="18"/>
                <w:szCs w:val="18"/>
              </w:rPr>
            </w:pPr>
          </w:p>
        </w:tc>
        <w:tc>
          <w:tcPr>
            <w:tcW w:w="799"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8,273,638.42</w:t>
            </w:r>
          </w:p>
        </w:tc>
        <w:tc>
          <w:tcPr>
            <w:tcW w:w="944" w:type="pct"/>
            <w:vAlign w:val="center"/>
          </w:tcPr>
          <w:p w:rsidR="00403CD6" w:rsidRDefault="00403CD6">
            <w:pPr>
              <w:jc w:val="right"/>
              <w:rPr>
                <w:rFonts w:ascii="Times New Roman" w:hAnsi="Times New Roman" w:cs="Times New Roman"/>
                <w:sz w:val="18"/>
                <w:szCs w:val="18"/>
              </w:rPr>
            </w:pPr>
          </w:p>
        </w:tc>
        <w:tc>
          <w:tcPr>
            <w:tcW w:w="6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8,273,638.42</w:t>
            </w:r>
          </w:p>
        </w:tc>
      </w:tr>
      <w:tr w:rsidR="00403CD6">
        <w:trPr>
          <w:trHeight w:val="284"/>
        </w:trPr>
        <w:tc>
          <w:tcPr>
            <w:tcW w:w="158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101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14,314,160.60</w:t>
            </w:r>
          </w:p>
        </w:tc>
        <w:tc>
          <w:tcPr>
            <w:tcW w:w="799"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8,273,638.42</w:t>
            </w:r>
          </w:p>
        </w:tc>
        <w:tc>
          <w:tcPr>
            <w:tcW w:w="944" w:type="pct"/>
            <w:vAlign w:val="center"/>
          </w:tcPr>
          <w:p w:rsidR="00403CD6" w:rsidRDefault="00403CD6">
            <w:pPr>
              <w:jc w:val="right"/>
              <w:rPr>
                <w:rFonts w:ascii="Times New Roman" w:hAnsi="Times New Roman" w:cs="Times New Roman"/>
                <w:sz w:val="18"/>
                <w:szCs w:val="18"/>
              </w:rPr>
            </w:pPr>
          </w:p>
        </w:tc>
        <w:tc>
          <w:tcPr>
            <w:tcW w:w="66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22,587,799.02</w:t>
            </w:r>
          </w:p>
        </w:tc>
      </w:tr>
    </w:tbl>
    <w:p w:rsidR="00403CD6" w:rsidRDefault="00E91A59">
      <w:pPr>
        <w:snapToGrid w:val="0"/>
        <w:spacing w:beforeLines="50" w:before="156" w:afterLines="90" w:after="280"/>
        <w:rPr>
          <w:rFonts w:ascii="Times New Roman" w:hAnsi="Times New Roman" w:cs="Times New Roman"/>
          <w:sz w:val="18"/>
          <w:szCs w:val="18"/>
        </w:rPr>
      </w:pPr>
      <w:bookmarkStart w:id="81" w:name="_Toc989303"/>
      <w:r>
        <w:rPr>
          <w:rFonts w:ascii="Times New Roman" w:hAnsi="Times New Roman" w:cs="Times New Roman"/>
          <w:sz w:val="18"/>
          <w:szCs w:val="18"/>
        </w:rPr>
        <w:t>说明：本公司对江西晨鸣港务有限责任公司整体进行盈利预测，可收回金额按照预计未来现金流量的现值确定。未来现金流量基于</w:t>
      </w:r>
      <w:r>
        <w:rPr>
          <w:rFonts w:ascii="Times New Roman" w:hAnsi="Times New Roman" w:cs="Times New Roman"/>
          <w:sz w:val="18"/>
          <w:szCs w:val="18"/>
        </w:rPr>
        <w:t>2025</w:t>
      </w:r>
      <w:r>
        <w:rPr>
          <w:rFonts w:ascii="Times New Roman" w:hAnsi="Times New Roman" w:cs="Times New Roman"/>
          <w:sz w:val="18"/>
          <w:szCs w:val="18"/>
        </w:rPr>
        <w:t>年至</w:t>
      </w:r>
      <w:r>
        <w:rPr>
          <w:rFonts w:ascii="Times New Roman" w:hAnsi="Times New Roman" w:cs="Times New Roman"/>
          <w:sz w:val="18"/>
          <w:szCs w:val="18"/>
        </w:rPr>
        <w:t>2029</w:t>
      </w:r>
      <w:r>
        <w:rPr>
          <w:rFonts w:ascii="Times New Roman" w:hAnsi="Times New Roman" w:cs="Times New Roman"/>
          <w:sz w:val="18"/>
          <w:szCs w:val="18"/>
        </w:rPr>
        <w:t>年的财务预算确定，加权平均资产成本为</w:t>
      </w:r>
      <w:r>
        <w:rPr>
          <w:rFonts w:ascii="Times New Roman" w:hAnsi="Times New Roman" w:cs="Times New Roman"/>
          <w:sz w:val="18"/>
          <w:szCs w:val="18"/>
        </w:rPr>
        <w:t>4.09%</w:t>
      </w:r>
      <w:r>
        <w:rPr>
          <w:rFonts w:ascii="Times New Roman" w:hAnsi="Times New Roman" w:cs="Times New Roman"/>
          <w:sz w:val="18"/>
          <w:szCs w:val="18"/>
        </w:rPr>
        <w:t>，在预计未来现金流量时使用的其他关键假设还有：基于该资产</w:t>
      </w:r>
      <w:proofErr w:type="gramStart"/>
      <w:r>
        <w:rPr>
          <w:rFonts w:ascii="Times New Roman" w:hAnsi="Times New Roman" w:cs="Times New Roman"/>
          <w:sz w:val="18"/>
          <w:szCs w:val="18"/>
        </w:rPr>
        <w:t>组过去</w:t>
      </w:r>
      <w:proofErr w:type="gramEnd"/>
      <w:r>
        <w:rPr>
          <w:rFonts w:ascii="Times New Roman" w:hAnsi="Times New Roman" w:cs="Times New Roman"/>
          <w:sz w:val="18"/>
          <w:szCs w:val="18"/>
        </w:rPr>
        <w:t>的业绩和管理层对市场发展的预期估计销售和毛利。经过评估，管理层认为购买江西晨鸣港务有限责任公司产生的商誉发生了减值。</w:t>
      </w:r>
    </w:p>
    <w:p w:rsidR="00403CD6" w:rsidRDefault="00E91A59">
      <w:pPr>
        <w:snapToGrid w:val="0"/>
        <w:spacing w:beforeLines="50" w:before="156" w:afterLines="90" w:after="280"/>
        <w:rPr>
          <w:rFonts w:ascii="宋体" w:eastAsia="宋体" w:hAnsi="宋体" w:cs="宋体"/>
          <w:b/>
          <w:bCs/>
          <w:szCs w:val="21"/>
        </w:rPr>
      </w:pPr>
      <w:r>
        <w:rPr>
          <w:rFonts w:ascii="宋体" w:eastAsia="宋体" w:hAnsi="宋体" w:cs="宋体" w:hint="eastAsia"/>
          <w:b/>
          <w:bCs/>
          <w:szCs w:val="21"/>
        </w:rPr>
        <w:t>（3） 商誉所在资产组或资产组组合的相关信息</w:t>
      </w:r>
      <w:bookmarkEnd w:id="81"/>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2891"/>
        <w:gridCol w:w="2266"/>
        <w:gridCol w:w="2233"/>
      </w:tblGrid>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名称</w:t>
            </w:r>
          </w:p>
        </w:tc>
        <w:tc>
          <w:tcPr>
            <w:tcW w:w="14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所属资产组或组合的构成及依据</w:t>
            </w:r>
          </w:p>
        </w:tc>
        <w:tc>
          <w:tcPr>
            <w:tcW w:w="11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所属经营分部及依据</w:t>
            </w:r>
          </w:p>
        </w:tc>
        <w:tc>
          <w:tcPr>
            <w:tcW w:w="113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是否与以前年度保持一致</w:t>
            </w:r>
          </w:p>
        </w:tc>
      </w:tr>
      <w:tr w:rsidR="00403CD6">
        <w:trPr>
          <w:trHeight w:val="284"/>
        </w:trPr>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江西晨鸣港务有限责任公司</w:t>
            </w:r>
          </w:p>
        </w:tc>
        <w:tc>
          <w:tcPr>
            <w:tcW w:w="14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将公司整体作为资产组或组合</w:t>
            </w:r>
          </w:p>
        </w:tc>
        <w:tc>
          <w:tcPr>
            <w:tcW w:w="11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其他分部</w:t>
            </w:r>
          </w:p>
        </w:tc>
        <w:tc>
          <w:tcPr>
            <w:tcW w:w="1133"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是</w:t>
            </w:r>
          </w:p>
        </w:tc>
      </w:tr>
    </w:tbl>
    <w:p w:rsidR="00403CD6" w:rsidRDefault="00E91A59">
      <w:pPr>
        <w:keepNext/>
        <w:keepLines/>
        <w:spacing w:before="300" w:after="300" w:line="280" w:lineRule="exact"/>
        <w:outlineLvl w:val="3"/>
        <w:rPr>
          <w:rFonts w:ascii="宋体" w:eastAsia="宋体" w:hAnsi="宋体" w:cs="宋体"/>
          <w:b/>
          <w:bCs/>
          <w:szCs w:val="21"/>
        </w:rPr>
      </w:pPr>
      <w:bookmarkStart w:id="82" w:name="_Toc989304"/>
      <w:r>
        <w:rPr>
          <w:rFonts w:ascii="宋体" w:eastAsia="宋体" w:hAnsi="宋体" w:cs="宋体" w:hint="eastAsia"/>
          <w:b/>
          <w:bCs/>
          <w:szCs w:val="21"/>
        </w:rPr>
        <w:t>（4） 可收回金额的具体确定方法</w:t>
      </w:r>
      <w:bookmarkEnd w:id="82"/>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40" w:after="4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7"/>
        <w:gridCol w:w="1277"/>
        <w:gridCol w:w="1417"/>
        <w:gridCol w:w="1275"/>
        <w:gridCol w:w="851"/>
        <w:gridCol w:w="849"/>
        <w:gridCol w:w="851"/>
        <w:gridCol w:w="956"/>
      </w:tblGrid>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可收回金额</w:t>
            </w:r>
          </w:p>
        </w:tc>
        <w:tc>
          <w:tcPr>
            <w:tcW w:w="64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减值金额</w:t>
            </w:r>
          </w:p>
        </w:tc>
        <w:tc>
          <w:tcPr>
            <w:tcW w:w="43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预测期的年限</w:t>
            </w:r>
          </w:p>
        </w:tc>
        <w:tc>
          <w:tcPr>
            <w:tcW w:w="4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预测期的关键参数</w:t>
            </w:r>
          </w:p>
        </w:tc>
        <w:tc>
          <w:tcPr>
            <w:tcW w:w="43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稳定期的关键参数</w:t>
            </w:r>
          </w:p>
        </w:tc>
        <w:tc>
          <w:tcPr>
            <w:tcW w:w="48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稳定期的关键参数的确定依据</w:t>
            </w:r>
          </w:p>
        </w:tc>
      </w:tr>
      <w:tr w:rsidR="00403CD6">
        <w:trPr>
          <w:trHeight w:val="284"/>
        </w:trPr>
        <w:tc>
          <w:tcPr>
            <w:tcW w:w="12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江西晨鸣港务有限责任公司</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-2,870,430.59</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-30,547,385.05</w:t>
            </w:r>
          </w:p>
        </w:tc>
        <w:tc>
          <w:tcPr>
            <w:tcW w:w="64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8,273,638.42</w:t>
            </w:r>
          </w:p>
        </w:tc>
        <w:tc>
          <w:tcPr>
            <w:tcW w:w="432"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5</w:t>
            </w:r>
          </w:p>
        </w:tc>
        <w:tc>
          <w:tcPr>
            <w:tcW w:w="431"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折现率</w:t>
            </w:r>
            <w:r>
              <w:rPr>
                <w:rFonts w:ascii="Times New Roman" w:eastAsia="宋体" w:hAnsi="Times New Roman" w:cs="Times New Roman" w:hint="eastAsia"/>
                <w:sz w:val="18"/>
                <w:szCs w:val="18"/>
              </w:rPr>
              <w:t>4</w:t>
            </w:r>
            <w:r>
              <w:rPr>
                <w:rFonts w:ascii="Times New Roman" w:eastAsia="宋体" w:hAnsi="Times New Roman" w:cs="Times New Roman"/>
                <w:sz w:val="18"/>
                <w:szCs w:val="18"/>
              </w:rPr>
              <w:t>.09%</w:t>
            </w:r>
          </w:p>
        </w:tc>
        <w:tc>
          <w:tcPr>
            <w:tcW w:w="432"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增长率为零</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合计</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-2,870,430.59</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-30,547,385.05</w:t>
            </w:r>
          </w:p>
        </w:tc>
        <w:tc>
          <w:tcPr>
            <w:tcW w:w="64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8,273,638.42</w:t>
            </w:r>
          </w:p>
        </w:tc>
        <w:tc>
          <w:tcPr>
            <w:tcW w:w="432" w:type="pct"/>
            <w:shd w:val="clear" w:color="auto" w:fill="D3D3D3"/>
            <w:vAlign w:val="center"/>
          </w:tcPr>
          <w:p w:rsidR="00403CD6" w:rsidRDefault="00403CD6">
            <w:pPr>
              <w:rPr>
                <w:rFonts w:ascii="Times New Roman" w:hAnsi="Times New Roman" w:cs="Times New Roman"/>
              </w:rPr>
            </w:pPr>
          </w:p>
        </w:tc>
        <w:tc>
          <w:tcPr>
            <w:tcW w:w="431" w:type="pct"/>
            <w:shd w:val="clear" w:color="auto" w:fill="D3D3D3"/>
            <w:vAlign w:val="center"/>
          </w:tcPr>
          <w:p w:rsidR="00403CD6" w:rsidRDefault="00403CD6">
            <w:pPr>
              <w:rPr>
                <w:rFonts w:ascii="Times New Roman" w:hAnsi="Times New Roman" w:cs="Times New Roman"/>
              </w:rPr>
            </w:pPr>
          </w:p>
        </w:tc>
        <w:tc>
          <w:tcPr>
            <w:tcW w:w="432" w:type="pct"/>
            <w:shd w:val="clear" w:color="auto" w:fill="D3D3D3"/>
            <w:vAlign w:val="center"/>
          </w:tcPr>
          <w:p w:rsidR="00403CD6" w:rsidRDefault="00403CD6">
            <w:pPr>
              <w:rPr>
                <w:rFonts w:ascii="Times New Roman" w:hAnsi="Times New Roman" w:cs="Times New Roman"/>
              </w:rPr>
            </w:pPr>
          </w:p>
        </w:tc>
        <w:tc>
          <w:tcPr>
            <w:tcW w:w="485" w:type="pct"/>
            <w:shd w:val="clear" w:color="auto" w:fill="D3D3D3"/>
            <w:vAlign w:val="center"/>
          </w:tcPr>
          <w:p w:rsidR="00403CD6" w:rsidRDefault="00403CD6">
            <w:pPr>
              <w:rPr>
                <w:rFonts w:ascii="Times New Roman" w:hAnsi="Times New Roman" w:cs="Times New Roman"/>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（5） 业绩承诺完成及对应商誉减值情况</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形成商誉时存在业绩承诺</w:t>
      </w:r>
      <w:proofErr w:type="gramStart"/>
      <w:r>
        <w:rPr>
          <w:rFonts w:ascii="宋体" w:eastAsia="宋体" w:hAnsi="宋体" w:cs="宋体" w:hint="eastAsia"/>
          <w:sz w:val="18"/>
          <w:szCs w:val="18"/>
        </w:rPr>
        <w:t>且报告</w:t>
      </w:r>
      <w:proofErr w:type="gramEnd"/>
      <w:r>
        <w:rPr>
          <w:rFonts w:ascii="宋体" w:eastAsia="宋体" w:hAnsi="宋体" w:cs="宋体" w:hint="eastAsia"/>
          <w:sz w:val="18"/>
          <w:szCs w:val="18"/>
        </w:rPr>
        <w:t>期或报告期上一期间处于业绩承诺期内</w:t>
      </w:r>
    </w:p>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□适用</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bookmarkStart w:id="83" w:name="_Toc989306"/>
      <w:r>
        <w:rPr>
          <w:rFonts w:ascii="宋体" w:eastAsia="宋体" w:hAnsi="宋体" w:cs="宋体" w:hint="eastAsia"/>
          <w:b/>
          <w:bCs/>
          <w:szCs w:val="21"/>
        </w:rPr>
        <w:t>21、长期待摊费用</w:t>
      </w:r>
      <w:bookmarkEnd w:id="83"/>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8"/>
        <w:gridCol w:w="1561"/>
        <w:gridCol w:w="1559"/>
        <w:gridCol w:w="1559"/>
        <w:gridCol w:w="1559"/>
        <w:gridCol w:w="1807"/>
      </w:tblGrid>
      <w:tr w:rsidR="00403CD6">
        <w:trPr>
          <w:trHeight w:val="284"/>
        </w:trPr>
        <w:tc>
          <w:tcPr>
            <w:tcW w:w="9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本期增加金额</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本期摊销金额</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其他减少金额</w:t>
            </w:r>
          </w:p>
        </w:tc>
        <w:tc>
          <w:tcPr>
            <w:tcW w:w="9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917" w:type="pct"/>
            <w:shd w:val="clear" w:color="auto" w:fill="auto"/>
            <w:vAlign w:val="bottom"/>
          </w:tcPr>
          <w:p w:rsidR="00403CD6" w:rsidRDefault="00E91A59">
            <w:pPr>
              <w:rPr>
                <w:rFonts w:ascii="Times New Roman" w:hAnsi="Times New Roman" w:cs="Times New Roman"/>
                <w:color w:val="FF0000"/>
                <w:sz w:val="18"/>
                <w:szCs w:val="18"/>
              </w:rPr>
            </w:pPr>
            <w:r>
              <w:rPr>
                <w:rFonts w:ascii="Times New Roman" w:hAnsi="Times New Roman" w:cs="Times New Roman"/>
                <w:sz w:val="18"/>
                <w:szCs w:val="18"/>
              </w:rPr>
              <w:t>银行财务顾问费</w:t>
            </w:r>
          </w:p>
        </w:tc>
        <w:tc>
          <w:tcPr>
            <w:tcW w:w="792" w:type="pct"/>
            <w:shd w:val="clear" w:color="auto" w:fill="auto"/>
            <w:vAlign w:val="center"/>
          </w:tcPr>
          <w:p w:rsidR="00403CD6" w:rsidRDefault="00403CD6">
            <w:pPr>
              <w:jc w:val="right"/>
              <w:rPr>
                <w:rFonts w:ascii="Times New Roman" w:hAnsi="Times New Roman" w:cs="Times New Roman"/>
                <w:sz w:val="18"/>
                <w:szCs w:val="18"/>
              </w:rPr>
            </w:pP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262,430,000.00</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13,121,499.99</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9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249,308,500.01</w:t>
            </w:r>
          </w:p>
        </w:tc>
      </w:tr>
      <w:tr w:rsidR="00403CD6">
        <w:trPr>
          <w:trHeight w:val="284"/>
        </w:trPr>
        <w:tc>
          <w:tcPr>
            <w:tcW w:w="917"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林地费用</w:t>
            </w:r>
          </w:p>
        </w:tc>
        <w:tc>
          <w:tcPr>
            <w:tcW w:w="7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5,952,099.77</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3,584,440.65</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1,409,772.51</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9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8,126,767.91</w:t>
            </w:r>
          </w:p>
        </w:tc>
      </w:tr>
      <w:tr w:rsidR="00403CD6">
        <w:trPr>
          <w:trHeight w:val="284"/>
        </w:trPr>
        <w:tc>
          <w:tcPr>
            <w:tcW w:w="917" w:type="pct"/>
            <w:shd w:val="clear" w:color="auto" w:fill="auto"/>
            <w:vAlign w:val="bottom"/>
          </w:tcPr>
          <w:p w:rsidR="00403CD6" w:rsidRDefault="00E91A59">
            <w:pPr>
              <w:rPr>
                <w:rFonts w:ascii="Times New Roman" w:hAnsi="Times New Roman" w:cs="Times New Roman"/>
                <w:sz w:val="18"/>
                <w:szCs w:val="18"/>
              </w:rPr>
            </w:pPr>
            <w:r>
              <w:rPr>
                <w:rFonts w:ascii="Times New Roman" w:hAnsi="Times New Roman" w:cs="Times New Roman"/>
                <w:sz w:val="18"/>
                <w:szCs w:val="18"/>
              </w:rPr>
              <w:t>其他</w:t>
            </w:r>
          </w:p>
        </w:tc>
        <w:tc>
          <w:tcPr>
            <w:tcW w:w="7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34,027,061.72</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975,934.44</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2,760,717.21</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9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32,242,278.95</w:t>
            </w:r>
          </w:p>
        </w:tc>
      </w:tr>
      <w:tr w:rsidR="00403CD6">
        <w:trPr>
          <w:trHeight w:val="284"/>
        </w:trPr>
        <w:tc>
          <w:tcPr>
            <w:tcW w:w="917"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7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39,979,161.49 </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266,990,375.09</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bCs/>
                <w:sz w:val="18"/>
                <w:szCs w:val="18"/>
              </w:rPr>
              <w:t>17,291,989.71</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9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289,677,546.87</w:t>
            </w:r>
          </w:p>
        </w:tc>
      </w:tr>
    </w:tbl>
    <w:p w:rsidR="00403CD6" w:rsidRDefault="00E91A59">
      <w:pPr>
        <w:keepNext/>
        <w:keepLines/>
        <w:spacing w:before="300" w:after="300" w:line="280" w:lineRule="exact"/>
        <w:outlineLvl w:val="2"/>
        <w:rPr>
          <w:rFonts w:ascii="宋体" w:eastAsia="宋体" w:hAnsi="宋体" w:cs="宋体"/>
          <w:b/>
          <w:bCs/>
          <w:szCs w:val="21"/>
        </w:rPr>
      </w:pPr>
      <w:bookmarkStart w:id="84" w:name="_Toc989307"/>
      <w:r>
        <w:rPr>
          <w:rFonts w:ascii="宋体" w:eastAsia="宋体" w:hAnsi="宋体" w:cs="宋体" w:hint="eastAsia"/>
          <w:b/>
          <w:bCs/>
          <w:szCs w:val="21"/>
        </w:rPr>
        <w:t>22、递延所得税资产/递延所得税负债</w:t>
      </w:r>
      <w:bookmarkEnd w:id="84"/>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未经</w:t>
      </w:r>
      <w:proofErr w:type="gramStart"/>
      <w:r>
        <w:rPr>
          <w:rFonts w:ascii="宋体" w:eastAsia="宋体" w:hAnsi="宋体" w:cs="宋体" w:hint="eastAsia"/>
          <w:b/>
          <w:bCs/>
          <w:szCs w:val="21"/>
        </w:rPr>
        <w:t>抵销</w:t>
      </w:r>
      <w:proofErr w:type="gramEnd"/>
      <w:r>
        <w:rPr>
          <w:rFonts w:ascii="宋体" w:eastAsia="宋体" w:hAnsi="宋体" w:cs="宋体" w:hint="eastAsia"/>
          <w:b/>
          <w:bCs/>
          <w:szCs w:val="21"/>
        </w:rPr>
        <w:t>的递延所得税资产</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7"/>
        <w:gridCol w:w="1984"/>
        <w:gridCol w:w="2126"/>
        <w:gridCol w:w="1890"/>
        <w:gridCol w:w="1476"/>
      </w:tblGrid>
      <w:tr w:rsidR="00403CD6">
        <w:trPr>
          <w:trHeight w:val="284"/>
        </w:trPr>
        <w:tc>
          <w:tcPr>
            <w:tcW w:w="1206"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086"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708"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206" w:type="pct"/>
            <w:vMerge/>
            <w:vAlign w:val="center"/>
          </w:tcPr>
          <w:p w:rsidR="00403CD6" w:rsidRDefault="00403CD6">
            <w:pPr>
              <w:widowControl/>
              <w:rPr>
                <w:rFonts w:ascii="Times New Roman" w:eastAsia="宋体" w:hAnsi="Times New Roman" w:cs="Times New Roman"/>
                <w:sz w:val="18"/>
                <w:szCs w:val="18"/>
              </w:rPr>
            </w:pPr>
          </w:p>
        </w:tc>
        <w:tc>
          <w:tcPr>
            <w:tcW w:w="100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可抵扣暂时性差异</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递延所得税资产</w:t>
            </w:r>
          </w:p>
        </w:tc>
        <w:tc>
          <w:tcPr>
            <w:tcW w:w="95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可抵扣暂时性差异</w:t>
            </w:r>
          </w:p>
        </w:tc>
        <w:tc>
          <w:tcPr>
            <w:tcW w:w="7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递延所得税资产</w:t>
            </w:r>
          </w:p>
        </w:tc>
      </w:tr>
      <w:tr w:rsidR="00403CD6">
        <w:trPr>
          <w:trHeight w:val="284"/>
        </w:trPr>
        <w:tc>
          <w:tcPr>
            <w:tcW w:w="1206"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资产减值准备</w:t>
            </w:r>
          </w:p>
        </w:tc>
        <w:tc>
          <w:tcPr>
            <w:tcW w:w="100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722,577,808.85</w:t>
            </w:r>
          </w:p>
        </w:tc>
        <w:tc>
          <w:tcPr>
            <w:tcW w:w="1079" w:type="pct"/>
            <w:shd w:val="clear" w:color="auto" w:fill="auto"/>
            <w:vAlign w:val="center"/>
          </w:tcPr>
          <w:p w:rsidR="00403CD6" w:rsidRDefault="00E91A59">
            <w:pPr>
              <w:jc w:val="right"/>
              <w:rPr>
                <w:rFonts w:ascii="Times New Roman" w:eastAsia="仿宋_GB2312" w:hAnsi="Times New Roman" w:cs="Times New Roman"/>
                <w:sz w:val="18"/>
                <w:szCs w:val="18"/>
              </w:rPr>
            </w:pPr>
            <w:bookmarkStart w:id="85" w:name="OLE_LINK24"/>
            <w:bookmarkStart w:id="86" w:name="OLE_LINK25"/>
            <w:r>
              <w:rPr>
                <w:rFonts w:ascii="Times New Roman" w:eastAsia="仿宋_GB2312" w:hAnsi="Times New Roman" w:cs="Times New Roman"/>
                <w:sz w:val="18"/>
                <w:szCs w:val="18"/>
              </w:rPr>
              <w:t>148,433,553.46</w:t>
            </w:r>
            <w:bookmarkEnd w:id="85"/>
            <w:bookmarkEnd w:id="86"/>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2,170,702,373.93</w:t>
            </w:r>
          </w:p>
        </w:tc>
        <w:tc>
          <w:tcPr>
            <w:tcW w:w="7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509,035,457.40</w:t>
            </w:r>
          </w:p>
        </w:tc>
      </w:tr>
      <w:tr w:rsidR="00403CD6">
        <w:trPr>
          <w:trHeight w:val="284"/>
        </w:trPr>
        <w:tc>
          <w:tcPr>
            <w:tcW w:w="1206"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内部交易未实现利润</w:t>
            </w:r>
          </w:p>
        </w:tc>
        <w:tc>
          <w:tcPr>
            <w:tcW w:w="1007"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1079"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7,605,345.40</w:t>
            </w:r>
          </w:p>
        </w:tc>
        <w:tc>
          <w:tcPr>
            <w:tcW w:w="7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1,901,336.35</w:t>
            </w:r>
          </w:p>
        </w:tc>
      </w:tr>
      <w:tr w:rsidR="00403CD6">
        <w:trPr>
          <w:trHeight w:val="284"/>
        </w:trPr>
        <w:tc>
          <w:tcPr>
            <w:tcW w:w="1206"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应付未付款项</w:t>
            </w:r>
          </w:p>
        </w:tc>
        <w:tc>
          <w:tcPr>
            <w:tcW w:w="1007" w:type="pct"/>
            <w:shd w:val="clear" w:color="auto" w:fill="auto"/>
            <w:vAlign w:val="center"/>
          </w:tcPr>
          <w:p w:rsidR="00403CD6" w:rsidRDefault="00012CDC">
            <w:pPr>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257,788,652.79</w:t>
            </w:r>
          </w:p>
        </w:tc>
        <w:tc>
          <w:tcPr>
            <w:tcW w:w="1079" w:type="pct"/>
            <w:shd w:val="clear" w:color="auto" w:fill="auto"/>
            <w:vAlign w:val="center"/>
          </w:tcPr>
          <w:p w:rsidR="00403CD6" w:rsidRDefault="00012CDC">
            <w:pPr>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56,051,325.73</w:t>
            </w:r>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121,528,026.20</w:t>
            </w:r>
          </w:p>
        </w:tc>
        <w:tc>
          <w:tcPr>
            <w:tcW w:w="7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18,553,482.43</w:t>
            </w:r>
          </w:p>
        </w:tc>
      </w:tr>
      <w:tr w:rsidR="00403CD6">
        <w:trPr>
          <w:trHeight w:val="284"/>
        </w:trPr>
        <w:tc>
          <w:tcPr>
            <w:tcW w:w="1206"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100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134,649,677.05</w:t>
            </w:r>
          </w:p>
        </w:tc>
        <w:tc>
          <w:tcPr>
            <w:tcW w:w="107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20,197,451.55</w:t>
            </w:r>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144,721,508.43</w:t>
            </w:r>
          </w:p>
        </w:tc>
        <w:tc>
          <w:tcPr>
            <w:tcW w:w="7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21,708,225.98</w:t>
            </w:r>
          </w:p>
        </w:tc>
      </w:tr>
      <w:tr w:rsidR="00403CD6">
        <w:trPr>
          <w:trHeight w:val="284"/>
        </w:trPr>
        <w:tc>
          <w:tcPr>
            <w:tcW w:w="1206"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可抵扣亏损</w:t>
            </w:r>
          </w:p>
        </w:tc>
        <w:tc>
          <w:tcPr>
            <w:tcW w:w="1007" w:type="pct"/>
            <w:shd w:val="clear" w:color="auto" w:fill="auto"/>
            <w:vAlign w:val="center"/>
          </w:tcPr>
          <w:p w:rsidR="00403CD6" w:rsidRDefault="00012CDC">
            <w:pPr>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9,715,020,431.43</w:t>
            </w:r>
          </w:p>
        </w:tc>
        <w:tc>
          <w:tcPr>
            <w:tcW w:w="1079" w:type="pct"/>
            <w:shd w:val="clear" w:color="auto" w:fill="auto"/>
            <w:vAlign w:val="center"/>
          </w:tcPr>
          <w:p w:rsidR="00403CD6" w:rsidRDefault="00012CDC">
            <w:pPr>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1,565,956,688.49</w:t>
            </w:r>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7,008,265,437.96</w:t>
            </w:r>
          </w:p>
        </w:tc>
        <w:tc>
          <w:tcPr>
            <w:tcW w:w="7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1,138,659,379.33</w:t>
            </w:r>
          </w:p>
        </w:tc>
      </w:tr>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007" w:type="pct"/>
            <w:shd w:val="clear" w:color="auto" w:fill="auto"/>
            <w:vAlign w:val="center"/>
          </w:tcPr>
          <w:p w:rsidR="00403CD6" w:rsidRDefault="00012CDC">
            <w:pPr>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10,830,036,570.12</w:t>
            </w:r>
          </w:p>
        </w:tc>
        <w:tc>
          <w:tcPr>
            <w:tcW w:w="1079" w:type="pct"/>
            <w:shd w:val="clear" w:color="auto" w:fill="auto"/>
            <w:vAlign w:val="center"/>
          </w:tcPr>
          <w:p w:rsidR="00403CD6" w:rsidRPr="004E1CA6" w:rsidRDefault="00012CDC">
            <w:pPr>
              <w:widowControl/>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1,790,639,019.23</w:t>
            </w:r>
          </w:p>
        </w:tc>
        <w:tc>
          <w:tcPr>
            <w:tcW w:w="95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9,452,822,691.92</w:t>
            </w:r>
          </w:p>
        </w:tc>
        <w:tc>
          <w:tcPr>
            <w:tcW w:w="749" w:type="pct"/>
            <w:shd w:val="clear" w:color="auto" w:fill="auto"/>
            <w:vAlign w:val="center"/>
          </w:tcPr>
          <w:p w:rsidR="00403CD6" w:rsidRDefault="00E91A59">
            <w:pPr>
              <w:widowControl/>
              <w:jc w:val="right"/>
              <w:rPr>
                <w:rFonts w:ascii="Times New Roman" w:eastAsia="等线" w:hAnsi="Times New Roman" w:cs="Times New Roman"/>
                <w:kern w:val="0"/>
                <w:sz w:val="18"/>
                <w:szCs w:val="18"/>
              </w:rPr>
            </w:pPr>
            <w:r>
              <w:rPr>
                <w:rFonts w:ascii="Times New Roman" w:eastAsia="等线" w:hAnsi="Times New Roman" w:cs="Times New Roman"/>
                <w:sz w:val="18"/>
                <w:szCs w:val="18"/>
              </w:rPr>
              <w:t>1,689,857,881.49</w:t>
            </w:r>
          </w:p>
        </w:tc>
      </w:tr>
    </w:tbl>
    <w:p w:rsidR="00403CD6" w:rsidRDefault="00E91A59">
      <w:pPr>
        <w:keepNext/>
        <w:keepLines/>
        <w:spacing w:before="300" w:after="300" w:line="280" w:lineRule="exact"/>
        <w:outlineLvl w:val="3"/>
        <w:rPr>
          <w:rFonts w:ascii="宋体" w:eastAsia="宋体" w:hAnsi="宋体" w:cs="宋体"/>
          <w:b/>
          <w:bCs/>
          <w:szCs w:val="21"/>
        </w:rPr>
      </w:pPr>
      <w:bookmarkStart w:id="87" w:name="_Toc989309"/>
      <w:r>
        <w:rPr>
          <w:rFonts w:ascii="宋体" w:eastAsia="宋体" w:hAnsi="宋体" w:cs="宋体" w:hint="eastAsia"/>
          <w:b/>
          <w:bCs/>
          <w:szCs w:val="21"/>
        </w:rPr>
        <w:t>（2） 未经</w:t>
      </w:r>
      <w:proofErr w:type="gramStart"/>
      <w:r>
        <w:rPr>
          <w:rFonts w:ascii="宋体" w:eastAsia="宋体" w:hAnsi="宋体" w:cs="宋体" w:hint="eastAsia"/>
          <w:b/>
          <w:bCs/>
          <w:szCs w:val="21"/>
        </w:rPr>
        <w:t>抵销</w:t>
      </w:r>
      <w:proofErr w:type="gramEnd"/>
      <w:r>
        <w:rPr>
          <w:rFonts w:ascii="宋体" w:eastAsia="宋体" w:hAnsi="宋体" w:cs="宋体" w:hint="eastAsia"/>
          <w:b/>
          <w:bCs/>
          <w:szCs w:val="21"/>
        </w:rPr>
        <w:t>的递延所得税负债</w:t>
      </w:r>
      <w:bookmarkEnd w:id="87"/>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9"/>
        <w:gridCol w:w="1969"/>
        <w:gridCol w:w="1971"/>
        <w:gridCol w:w="1971"/>
        <w:gridCol w:w="1973"/>
      </w:tblGrid>
      <w:tr w:rsidR="00403CD6">
        <w:trPr>
          <w:trHeight w:val="284"/>
        </w:trPr>
        <w:tc>
          <w:tcPr>
            <w:tcW w:w="99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999"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001"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999" w:type="pct"/>
            <w:vMerge/>
            <w:vAlign w:val="center"/>
          </w:tcPr>
          <w:p w:rsidR="00403CD6" w:rsidRDefault="00403CD6">
            <w:pPr>
              <w:widowControl/>
              <w:rPr>
                <w:rFonts w:ascii="Times New Roman" w:eastAsia="宋体" w:hAnsi="Times New Roman" w:cs="Times New Roman"/>
                <w:sz w:val="18"/>
                <w:szCs w:val="18"/>
              </w:rPr>
            </w:pP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应纳税暂时性差异</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递延所得税负债</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应纳税暂时性差异</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递延所得税负债</w:t>
            </w:r>
          </w:p>
        </w:tc>
      </w:tr>
      <w:tr w:rsidR="00403CD6">
        <w:trPr>
          <w:trHeight w:val="284"/>
        </w:trPr>
        <w:tc>
          <w:tcPr>
            <w:tcW w:w="1969"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非同</w:t>
            </w:r>
            <w:proofErr w:type="gramStart"/>
            <w:r>
              <w:rPr>
                <w:rFonts w:asciiTheme="minorEastAsia" w:hAnsiTheme="minorEastAsia" w:cstheme="minorEastAsia" w:hint="eastAsia"/>
                <w:sz w:val="18"/>
                <w:szCs w:val="18"/>
              </w:rPr>
              <w:t>一控制</w:t>
            </w:r>
            <w:proofErr w:type="gramEnd"/>
            <w:r>
              <w:rPr>
                <w:rFonts w:asciiTheme="minorEastAsia" w:hAnsiTheme="minorEastAsia" w:cstheme="minorEastAsia" w:hint="eastAsia"/>
                <w:sz w:val="18"/>
                <w:szCs w:val="18"/>
              </w:rPr>
              <w:t>企业合并资产评估增值</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33,371,073.97</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5,005,661.10</w:t>
            </w: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37,960,636.20</w:t>
            </w: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9,490,159.05</w:t>
            </w:r>
          </w:p>
        </w:tc>
      </w:tr>
      <w:tr w:rsidR="00403CD6">
        <w:trPr>
          <w:trHeight w:val="284"/>
        </w:trPr>
        <w:tc>
          <w:tcPr>
            <w:tcW w:w="1969"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内部交易未实现利润</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14,360,332.90</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3,590,083.23</w:t>
            </w:r>
          </w:p>
        </w:tc>
        <w:tc>
          <w:tcPr>
            <w:tcW w:w="1972" w:type="dxa"/>
            <w:vAlign w:val="center"/>
          </w:tcPr>
          <w:p w:rsidR="00403CD6" w:rsidRDefault="00403CD6">
            <w:pPr>
              <w:widowControl/>
              <w:jc w:val="right"/>
              <w:rPr>
                <w:rFonts w:ascii="Times New Roman" w:eastAsia="宋体" w:hAnsi="Times New Roman" w:cs="Times New Roman"/>
                <w:sz w:val="18"/>
                <w:szCs w:val="18"/>
              </w:rPr>
            </w:pPr>
          </w:p>
        </w:tc>
        <w:tc>
          <w:tcPr>
            <w:tcW w:w="1972" w:type="dxa"/>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47,731,406.87</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8,595,744.33</w:t>
            </w: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sz w:val="18"/>
                <w:szCs w:val="18"/>
              </w:rPr>
              <w:t>37,960,636.20</w:t>
            </w:r>
          </w:p>
        </w:tc>
        <w:tc>
          <w:tcPr>
            <w:tcW w:w="1972" w:type="dxa"/>
            <w:vAlign w:val="center"/>
          </w:tcPr>
          <w:p w:rsidR="00403CD6" w:rsidRDefault="00E91A59">
            <w:pPr>
              <w:widowControl/>
              <w:jc w:val="right"/>
              <w:rPr>
                <w:rFonts w:ascii="Times New Roman" w:eastAsia="宋体" w:hAnsi="Times New Roman" w:cs="Times New Roman"/>
                <w:sz w:val="18"/>
                <w:szCs w:val="18"/>
              </w:rPr>
            </w:pPr>
            <w:r>
              <w:rPr>
                <w:rFonts w:ascii="Times New Roman" w:eastAsia="等线" w:hAnsi="Times New Roman" w:cs="Times New Roman"/>
                <w:sz w:val="18"/>
                <w:szCs w:val="18"/>
              </w:rPr>
              <w:t>9,490,159.05</w:t>
            </w:r>
          </w:p>
        </w:tc>
      </w:tr>
    </w:tbl>
    <w:p w:rsidR="00403CD6" w:rsidRDefault="00E91A59">
      <w:pPr>
        <w:keepNext/>
        <w:keepLines/>
        <w:spacing w:before="300" w:after="300" w:line="280" w:lineRule="exact"/>
        <w:outlineLvl w:val="3"/>
        <w:rPr>
          <w:rFonts w:ascii="宋体" w:eastAsia="宋体" w:hAnsi="宋体" w:cs="宋体"/>
          <w:b/>
          <w:bCs/>
          <w:szCs w:val="21"/>
        </w:rPr>
      </w:pPr>
      <w:bookmarkStart w:id="88" w:name="_Toc989310"/>
      <w:r>
        <w:rPr>
          <w:rFonts w:ascii="宋体" w:eastAsia="宋体" w:hAnsi="宋体" w:cs="宋体" w:hint="eastAsia"/>
          <w:b/>
          <w:bCs/>
          <w:szCs w:val="21"/>
        </w:rPr>
        <w:t>（3） 以</w:t>
      </w:r>
      <w:proofErr w:type="gramStart"/>
      <w:r>
        <w:rPr>
          <w:rFonts w:ascii="宋体" w:eastAsia="宋体" w:hAnsi="宋体" w:cs="宋体" w:hint="eastAsia"/>
          <w:b/>
          <w:bCs/>
          <w:szCs w:val="21"/>
        </w:rPr>
        <w:t>抵销</w:t>
      </w:r>
      <w:proofErr w:type="gramEnd"/>
      <w:r>
        <w:rPr>
          <w:rFonts w:ascii="宋体" w:eastAsia="宋体" w:hAnsi="宋体" w:cs="宋体" w:hint="eastAsia"/>
          <w:b/>
          <w:bCs/>
          <w:szCs w:val="21"/>
        </w:rPr>
        <w:t>后净额列示的递延所得税资产或负债</w:t>
      </w:r>
      <w:bookmarkEnd w:id="88"/>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递延所得税资产和负债期末互</w:t>
            </w:r>
            <w:proofErr w:type="gramStart"/>
            <w:r>
              <w:rPr>
                <w:rFonts w:ascii="Times New Roman" w:eastAsia="宋体" w:hAnsi="Times New Roman" w:cs="Times New Roman"/>
                <w:sz w:val="18"/>
                <w:szCs w:val="18"/>
              </w:rPr>
              <w:t>抵金额</w:t>
            </w:r>
            <w:proofErr w:type="gramEnd"/>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proofErr w:type="gramStart"/>
            <w:r>
              <w:rPr>
                <w:rFonts w:ascii="Times New Roman" w:eastAsia="宋体" w:hAnsi="Times New Roman" w:cs="Times New Roman"/>
                <w:sz w:val="18"/>
                <w:szCs w:val="18"/>
              </w:rPr>
              <w:t>抵销后递延</w:t>
            </w:r>
            <w:proofErr w:type="gramEnd"/>
            <w:r>
              <w:rPr>
                <w:rFonts w:ascii="Times New Roman" w:eastAsia="宋体" w:hAnsi="Times New Roman" w:cs="Times New Roman"/>
                <w:sz w:val="18"/>
                <w:szCs w:val="18"/>
              </w:rPr>
              <w:t>所得税资产或负债期末余额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递延所得税资产和负债期</w:t>
            </w:r>
            <w:proofErr w:type="gramStart"/>
            <w:r>
              <w:rPr>
                <w:rFonts w:ascii="Times New Roman" w:eastAsia="宋体" w:hAnsi="Times New Roman" w:cs="Times New Roman"/>
                <w:sz w:val="18"/>
                <w:szCs w:val="18"/>
              </w:rPr>
              <w:t>初互抵金额</w:t>
            </w:r>
            <w:proofErr w:type="gramEnd"/>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proofErr w:type="gramStart"/>
            <w:r>
              <w:rPr>
                <w:rFonts w:ascii="Times New Roman" w:eastAsia="宋体" w:hAnsi="Times New Roman" w:cs="Times New Roman"/>
                <w:sz w:val="18"/>
                <w:szCs w:val="18"/>
              </w:rPr>
              <w:t>抵销后递延</w:t>
            </w:r>
            <w:proofErr w:type="gramEnd"/>
            <w:r>
              <w:rPr>
                <w:rFonts w:ascii="Times New Roman" w:eastAsia="宋体" w:hAnsi="Times New Roman" w:cs="Times New Roman"/>
                <w:sz w:val="18"/>
                <w:szCs w:val="18"/>
              </w:rPr>
              <w:t>所得税资产或负债期初余额</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递延所得税资产</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1,797,939,019.</w:t>
            </w:r>
            <w:r>
              <w:rPr>
                <w:rFonts w:ascii="Times New Roman" w:eastAsia="宋体" w:hAnsi="Times New Roman" w:cs="Times New Roman" w:hint="eastAsia"/>
                <w:sz w:val="18"/>
                <w:szCs w:val="18"/>
              </w:rPr>
              <w:t>23</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1,689,857,881.49</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递延所得税负债</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8,595,744.33</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9,490,159.05</w:t>
            </w:r>
          </w:p>
        </w:tc>
      </w:tr>
    </w:tbl>
    <w:p w:rsidR="00403CD6" w:rsidRDefault="00E91A59">
      <w:pPr>
        <w:keepNext/>
        <w:keepLines/>
        <w:spacing w:before="300" w:after="300" w:line="280" w:lineRule="exact"/>
        <w:outlineLvl w:val="3"/>
        <w:rPr>
          <w:rFonts w:ascii="宋体" w:eastAsia="宋体" w:hAnsi="宋体" w:cs="宋体"/>
          <w:b/>
          <w:bCs/>
          <w:szCs w:val="21"/>
        </w:rPr>
      </w:pPr>
      <w:bookmarkStart w:id="89" w:name="_Toc989311"/>
      <w:r>
        <w:rPr>
          <w:rFonts w:ascii="宋体" w:eastAsia="宋体" w:hAnsi="宋体" w:cs="宋体" w:hint="eastAsia"/>
          <w:b/>
          <w:bCs/>
          <w:szCs w:val="21"/>
        </w:rPr>
        <w:t>（4） 未确认递延所得税资产明细</w:t>
      </w:r>
      <w:bookmarkEnd w:id="89"/>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可抵扣暂时性差异</w:t>
            </w:r>
          </w:p>
        </w:tc>
        <w:tc>
          <w:tcPr>
            <w:tcW w:w="1668"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5,404,679,879.65</w:t>
            </w:r>
          </w:p>
        </w:tc>
        <w:tc>
          <w:tcPr>
            <w:tcW w:w="166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53,265,395.05</w:t>
            </w:r>
          </w:p>
        </w:tc>
      </w:tr>
      <w:tr w:rsidR="00403CD6">
        <w:trPr>
          <w:trHeight w:val="284"/>
        </w:trPr>
        <w:tc>
          <w:tcPr>
            <w:tcW w:w="166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可抵扣亏损</w:t>
            </w:r>
          </w:p>
        </w:tc>
        <w:tc>
          <w:tcPr>
            <w:tcW w:w="1668"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2,074,025,508.84</w:t>
            </w:r>
          </w:p>
        </w:tc>
        <w:tc>
          <w:tcPr>
            <w:tcW w:w="166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721,381,744.55</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8"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7,478,705,388.49</w:t>
            </w:r>
          </w:p>
        </w:tc>
        <w:tc>
          <w:tcPr>
            <w:tcW w:w="1664"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774,647,139.60</w:t>
            </w:r>
          </w:p>
        </w:tc>
      </w:tr>
    </w:tbl>
    <w:p w:rsidR="00403CD6" w:rsidRDefault="00E91A59">
      <w:pPr>
        <w:keepNext/>
        <w:keepLines/>
        <w:spacing w:before="300" w:after="300" w:line="280" w:lineRule="exact"/>
        <w:outlineLvl w:val="3"/>
        <w:rPr>
          <w:rFonts w:ascii="宋体" w:eastAsia="宋体" w:hAnsi="宋体" w:cs="宋体"/>
          <w:b/>
          <w:bCs/>
          <w:szCs w:val="21"/>
        </w:rPr>
      </w:pPr>
      <w:bookmarkStart w:id="90" w:name="_Toc989312"/>
      <w:r>
        <w:rPr>
          <w:rFonts w:ascii="宋体" w:eastAsia="宋体" w:hAnsi="宋体" w:cs="宋体" w:hint="eastAsia"/>
          <w:b/>
          <w:bCs/>
          <w:szCs w:val="21"/>
        </w:rPr>
        <w:t>（5） 未确认递延所得税资产的可抵扣亏损将于以下年度到期</w:t>
      </w:r>
      <w:bookmarkEnd w:id="90"/>
    </w:p>
    <w:p w:rsidR="00403CD6" w:rsidRDefault="00E91A59">
      <w:pPr>
        <w:spacing w:before="40" w:after="40" w:line="240" w:lineRule="exact"/>
        <w:jc w:val="right"/>
        <w:rPr>
          <w:rFonts w:ascii="Times New Roman" w:eastAsia="宋体"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2"/>
        <w:gridCol w:w="2463"/>
        <w:gridCol w:w="2463"/>
        <w:gridCol w:w="2465"/>
      </w:tblGrid>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年份</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期末金额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w:t>
            </w:r>
            <w:proofErr w:type="gramStart"/>
            <w:r>
              <w:rPr>
                <w:rFonts w:ascii="Times New Roman" w:eastAsia="宋体" w:hAnsi="Times New Roman" w:cs="Times New Roman"/>
                <w:sz w:val="18"/>
                <w:szCs w:val="18"/>
              </w:rPr>
              <w:t>初金额</w:t>
            </w:r>
            <w:proofErr w:type="gramEnd"/>
          </w:p>
        </w:tc>
        <w:tc>
          <w:tcPr>
            <w:tcW w:w="12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备注</w:t>
            </w: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2024</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158,265,081.51</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2025</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208,245,408.21</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226,672,646.51</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2026</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590,291,155.76</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61,481,717.71</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2027</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110,332,902.30</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77,967,748.73</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2028</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425,783,078.02</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196,994,550.09</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2029</w:t>
            </w:r>
            <w:r>
              <w:rPr>
                <w:rFonts w:ascii="Times New Roman" w:hAnsi="Times New Roman" w:cs="Times New Roman"/>
                <w:sz w:val="18"/>
                <w:szCs w:val="18"/>
              </w:rPr>
              <w:t>年</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739,372,964.55</w:t>
            </w:r>
          </w:p>
        </w:tc>
        <w:tc>
          <w:tcPr>
            <w:tcW w:w="125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w:t>
            </w:r>
          </w:p>
        </w:tc>
        <w:tc>
          <w:tcPr>
            <w:tcW w:w="1251"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12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2,074,025,508.84</w:t>
            </w:r>
          </w:p>
        </w:tc>
        <w:tc>
          <w:tcPr>
            <w:tcW w:w="12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721,381,744.55</w:t>
            </w:r>
          </w:p>
        </w:tc>
        <w:tc>
          <w:tcPr>
            <w:tcW w:w="1251" w:type="pct"/>
            <w:shd w:val="clear" w:color="auto" w:fill="D3D3D3"/>
            <w:vAlign w:val="center"/>
          </w:tcPr>
          <w:p w:rsidR="00403CD6" w:rsidRDefault="00403CD6">
            <w:pPr>
              <w:rPr>
                <w:rFonts w:ascii="Times New Roman" w:hAnsi="Times New Roman" w:cs="Times New Roman"/>
              </w:rPr>
            </w:pPr>
          </w:p>
        </w:tc>
      </w:tr>
    </w:tbl>
    <w:p w:rsidR="00403CD6" w:rsidRDefault="00E91A59">
      <w:pPr>
        <w:keepNext/>
        <w:keepLines/>
        <w:spacing w:before="300" w:after="300" w:line="280" w:lineRule="exact"/>
        <w:outlineLvl w:val="2"/>
        <w:rPr>
          <w:rFonts w:ascii="宋体" w:eastAsia="宋体" w:hAnsi="宋体" w:cs="宋体"/>
          <w:b/>
          <w:bCs/>
          <w:szCs w:val="21"/>
        </w:rPr>
      </w:pPr>
      <w:bookmarkStart w:id="91" w:name="_Toc989313"/>
      <w:r>
        <w:rPr>
          <w:rFonts w:ascii="宋体" w:eastAsia="宋体" w:hAnsi="宋体" w:cs="宋体" w:hint="eastAsia"/>
          <w:b/>
          <w:bCs/>
          <w:szCs w:val="21"/>
        </w:rPr>
        <w:t>23、其他非流动资产</w:t>
      </w:r>
      <w:bookmarkEnd w:id="91"/>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3"/>
        <w:gridCol w:w="1421"/>
        <w:gridCol w:w="1275"/>
        <w:gridCol w:w="1419"/>
        <w:gridCol w:w="1559"/>
        <w:gridCol w:w="991"/>
        <w:gridCol w:w="1665"/>
      </w:tblGrid>
      <w:tr w:rsidR="00403CD6">
        <w:trPr>
          <w:trHeight w:val="284"/>
        </w:trPr>
        <w:tc>
          <w:tcPr>
            <w:tcW w:w="77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088"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139"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773" w:type="pct"/>
            <w:vMerge/>
            <w:vAlign w:val="center"/>
          </w:tcPr>
          <w:p w:rsidR="00403CD6" w:rsidRDefault="00403CD6">
            <w:pPr>
              <w:widowControl/>
              <w:rPr>
                <w:rFonts w:ascii="Times New Roman" w:eastAsia="宋体" w:hAnsi="Times New Roman" w:cs="Times New Roman"/>
                <w:sz w:val="18"/>
                <w:szCs w:val="18"/>
              </w:rPr>
            </w:pPr>
          </w:p>
        </w:tc>
        <w:tc>
          <w:tcPr>
            <w:tcW w:w="72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4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50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8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773" w:type="pct"/>
            <w:shd w:val="clear" w:color="auto" w:fill="D3D3D3"/>
            <w:vAlign w:val="bottom"/>
          </w:tcPr>
          <w:p w:rsidR="00403CD6" w:rsidRDefault="00E91A59">
            <w:pPr>
              <w:autoSpaceDE w:val="0"/>
              <w:autoSpaceDN w:val="0"/>
              <w:ind w:hanging="1"/>
              <w:rPr>
                <w:rFonts w:ascii="Times New Roman" w:hAnsi="Times New Roman" w:cs="Times New Roman"/>
                <w:sz w:val="18"/>
                <w:szCs w:val="18"/>
              </w:rPr>
            </w:pPr>
            <w:r>
              <w:rPr>
                <w:rFonts w:ascii="Times New Roman" w:hAnsi="Times New Roman" w:cs="Times New Roman"/>
                <w:color w:val="000000"/>
                <w:sz w:val="18"/>
                <w:szCs w:val="18"/>
              </w:rPr>
              <w:t>工程</w:t>
            </w:r>
            <w:proofErr w:type="gramStart"/>
            <w:r>
              <w:rPr>
                <w:rFonts w:ascii="Times New Roman" w:hAnsi="Times New Roman" w:cs="Times New Roman"/>
                <w:color w:val="000000"/>
                <w:sz w:val="18"/>
                <w:szCs w:val="18"/>
              </w:rPr>
              <w:t>款设备</w:t>
            </w:r>
            <w:proofErr w:type="gramEnd"/>
            <w:r>
              <w:rPr>
                <w:rFonts w:ascii="Times New Roman" w:hAnsi="Times New Roman" w:cs="Times New Roman"/>
                <w:color w:val="000000"/>
                <w:sz w:val="18"/>
                <w:szCs w:val="18"/>
              </w:rPr>
              <w:t>款</w:t>
            </w:r>
          </w:p>
        </w:tc>
        <w:tc>
          <w:tcPr>
            <w:tcW w:w="72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125,012,037.98 </w:t>
            </w:r>
          </w:p>
        </w:tc>
        <w:tc>
          <w:tcPr>
            <w:tcW w:w="647" w:type="pct"/>
            <w:vAlign w:val="center"/>
          </w:tcPr>
          <w:p w:rsidR="00403CD6" w:rsidRDefault="00403CD6">
            <w:pPr>
              <w:jc w:val="right"/>
              <w:rPr>
                <w:rFonts w:ascii="Times New Roman" w:hAnsi="Times New Roman" w:cs="Times New Roman"/>
                <w:sz w:val="18"/>
                <w:szCs w:val="18"/>
              </w:rPr>
            </w:pPr>
          </w:p>
        </w:tc>
        <w:tc>
          <w:tcPr>
            <w:tcW w:w="720"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125,012,037.98  </w:t>
            </w:r>
          </w:p>
        </w:tc>
        <w:tc>
          <w:tcPr>
            <w:tcW w:w="79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1,055,195,141.00</w:t>
            </w:r>
          </w:p>
        </w:tc>
        <w:tc>
          <w:tcPr>
            <w:tcW w:w="503" w:type="pct"/>
            <w:vAlign w:val="center"/>
          </w:tcPr>
          <w:p w:rsidR="00403CD6" w:rsidRDefault="00403CD6">
            <w:pPr>
              <w:jc w:val="right"/>
              <w:rPr>
                <w:rFonts w:ascii="Times New Roman" w:hAnsi="Times New Roman" w:cs="Times New Roman"/>
                <w:sz w:val="18"/>
                <w:szCs w:val="18"/>
              </w:rPr>
            </w:pPr>
          </w:p>
        </w:tc>
        <w:tc>
          <w:tcPr>
            <w:tcW w:w="84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1,055,195,141.00</w:t>
            </w:r>
          </w:p>
        </w:tc>
      </w:tr>
      <w:tr w:rsidR="00403CD6">
        <w:trPr>
          <w:trHeight w:val="284"/>
        </w:trPr>
        <w:tc>
          <w:tcPr>
            <w:tcW w:w="773" w:type="pct"/>
            <w:shd w:val="clear" w:color="auto" w:fill="D3D3D3"/>
            <w:vAlign w:val="bottom"/>
          </w:tcPr>
          <w:p w:rsidR="00403CD6" w:rsidRDefault="00E91A59">
            <w:pPr>
              <w:autoSpaceDE w:val="0"/>
              <w:autoSpaceDN w:val="0"/>
              <w:ind w:hanging="1"/>
              <w:rPr>
                <w:rFonts w:ascii="Times New Roman" w:hAnsi="Times New Roman" w:cs="Times New Roman"/>
                <w:sz w:val="18"/>
                <w:szCs w:val="18"/>
              </w:rPr>
            </w:pPr>
            <w:r>
              <w:rPr>
                <w:rFonts w:ascii="Times New Roman" w:hAnsi="Times New Roman" w:cs="Times New Roman"/>
                <w:color w:val="000000"/>
                <w:sz w:val="18"/>
                <w:szCs w:val="18"/>
              </w:rPr>
              <w:t>其他</w:t>
            </w:r>
          </w:p>
        </w:tc>
        <w:tc>
          <w:tcPr>
            <w:tcW w:w="721" w:type="pct"/>
            <w:vAlign w:val="center"/>
          </w:tcPr>
          <w:p w:rsidR="00403CD6" w:rsidRDefault="00137726">
            <w:pPr>
              <w:jc w:val="right"/>
              <w:rPr>
                <w:rFonts w:ascii="Times New Roman" w:hAnsi="Times New Roman" w:cs="Times New Roman"/>
                <w:sz w:val="18"/>
                <w:szCs w:val="18"/>
              </w:rPr>
            </w:pPr>
            <w:r w:rsidRPr="00F45AED">
              <w:rPr>
                <w:rFonts w:ascii="Times New Roman" w:hAnsi="Times New Roman" w:cs="Times New Roman"/>
                <w:sz w:val="18"/>
                <w:szCs w:val="18"/>
              </w:rPr>
              <w:t>290,844,663.44</w:t>
            </w:r>
          </w:p>
        </w:tc>
        <w:tc>
          <w:tcPr>
            <w:tcW w:w="647" w:type="pct"/>
            <w:vAlign w:val="center"/>
          </w:tcPr>
          <w:p w:rsidR="00403CD6" w:rsidRDefault="00403CD6">
            <w:pPr>
              <w:jc w:val="right"/>
              <w:rPr>
                <w:rFonts w:ascii="Times New Roman" w:hAnsi="Times New Roman" w:cs="Times New Roman"/>
                <w:sz w:val="18"/>
                <w:szCs w:val="18"/>
              </w:rPr>
            </w:pPr>
          </w:p>
        </w:tc>
        <w:tc>
          <w:tcPr>
            <w:tcW w:w="720" w:type="pct"/>
            <w:vAlign w:val="center"/>
          </w:tcPr>
          <w:p w:rsidR="00403CD6" w:rsidRDefault="00137726">
            <w:pPr>
              <w:jc w:val="right"/>
              <w:rPr>
                <w:rFonts w:ascii="Times New Roman" w:hAnsi="Times New Roman" w:cs="Times New Roman"/>
                <w:sz w:val="18"/>
                <w:szCs w:val="18"/>
              </w:rPr>
            </w:pPr>
            <w:r w:rsidRPr="00F45AED">
              <w:rPr>
                <w:rFonts w:ascii="Times New Roman" w:hAnsi="Times New Roman" w:cs="Times New Roman"/>
                <w:sz w:val="18"/>
                <w:szCs w:val="18"/>
              </w:rPr>
              <w:t>290,844,663.44</w:t>
            </w:r>
          </w:p>
        </w:tc>
        <w:tc>
          <w:tcPr>
            <w:tcW w:w="79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11,887,516.57</w:t>
            </w:r>
          </w:p>
        </w:tc>
        <w:tc>
          <w:tcPr>
            <w:tcW w:w="503" w:type="pct"/>
            <w:vAlign w:val="center"/>
          </w:tcPr>
          <w:p w:rsidR="00403CD6" w:rsidRDefault="00403CD6">
            <w:pPr>
              <w:jc w:val="right"/>
              <w:rPr>
                <w:rFonts w:ascii="Times New Roman" w:hAnsi="Times New Roman" w:cs="Times New Roman"/>
                <w:sz w:val="18"/>
                <w:szCs w:val="18"/>
              </w:rPr>
            </w:pPr>
          </w:p>
        </w:tc>
        <w:tc>
          <w:tcPr>
            <w:tcW w:w="84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11,887,516.57</w:t>
            </w:r>
          </w:p>
        </w:tc>
      </w:tr>
      <w:tr w:rsidR="00403CD6">
        <w:trPr>
          <w:trHeight w:val="284"/>
        </w:trPr>
        <w:tc>
          <w:tcPr>
            <w:tcW w:w="773"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721" w:type="pct"/>
            <w:vAlign w:val="center"/>
          </w:tcPr>
          <w:p w:rsidR="00403CD6" w:rsidRDefault="00137726">
            <w:pPr>
              <w:jc w:val="right"/>
              <w:rPr>
                <w:rFonts w:ascii="Times New Roman" w:hAnsi="Times New Roman" w:cs="Times New Roman"/>
                <w:sz w:val="18"/>
                <w:szCs w:val="18"/>
              </w:rPr>
            </w:pPr>
            <w:r w:rsidRPr="00F45AED">
              <w:rPr>
                <w:rFonts w:ascii="Times New Roman" w:hAnsi="Times New Roman" w:cs="Times New Roman"/>
                <w:sz w:val="18"/>
                <w:szCs w:val="18"/>
              </w:rPr>
              <w:t xml:space="preserve">415,856,701.42 </w:t>
            </w:r>
            <w:r w:rsidR="00E91A59" w:rsidRPr="00F45AED">
              <w:rPr>
                <w:rFonts w:ascii="Times New Roman" w:hAnsi="Times New Roman" w:cs="Times New Roman"/>
                <w:sz w:val="18"/>
                <w:szCs w:val="18"/>
              </w:rPr>
              <w:t xml:space="preserve"> </w:t>
            </w:r>
          </w:p>
        </w:tc>
        <w:tc>
          <w:tcPr>
            <w:tcW w:w="647" w:type="pct"/>
            <w:vAlign w:val="center"/>
          </w:tcPr>
          <w:p w:rsidR="00403CD6" w:rsidRDefault="00403CD6">
            <w:pPr>
              <w:rPr>
                <w:rFonts w:ascii="Times New Roman" w:hAnsi="Times New Roman" w:cs="Times New Roman"/>
                <w:sz w:val="18"/>
                <w:szCs w:val="18"/>
              </w:rPr>
            </w:pPr>
          </w:p>
          <w:p w:rsidR="00403CD6" w:rsidRDefault="00403CD6">
            <w:pPr>
              <w:jc w:val="right"/>
              <w:rPr>
                <w:rFonts w:ascii="Times New Roman" w:hAnsi="Times New Roman" w:cs="Times New Roman"/>
                <w:sz w:val="18"/>
                <w:szCs w:val="18"/>
              </w:rPr>
            </w:pPr>
          </w:p>
        </w:tc>
        <w:tc>
          <w:tcPr>
            <w:tcW w:w="720" w:type="pct"/>
            <w:vAlign w:val="center"/>
          </w:tcPr>
          <w:p w:rsidR="00403CD6" w:rsidRDefault="00137726">
            <w:pPr>
              <w:jc w:val="right"/>
              <w:rPr>
                <w:rFonts w:ascii="Times New Roman" w:hAnsi="Times New Roman" w:cs="Times New Roman"/>
                <w:sz w:val="18"/>
                <w:szCs w:val="18"/>
              </w:rPr>
            </w:pPr>
            <w:r w:rsidRPr="00F45AED">
              <w:rPr>
                <w:rFonts w:ascii="Times New Roman" w:hAnsi="Times New Roman" w:cs="Times New Roman"/>
                <w:sz w:val="18"/>
                <w:szCs w:val="18"/>
              </w:rPr>
              <w:t>415,856,701.42</w:t>
            </w:r>
          </w:p>
        </w:tc>
        <w:tc>
          <w:tcPr>
            <w:tcW w:w="791"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1,067,082,657.57</w:t>
            </w:r>
          </w:p>
        </w:tc>
        <w:tc>
          <w:tcPr>
            <w:tcW w:w="503" w:type="pct"/>
            <w:vAlign w:val="center"/>
          </w:tcPr>
          <w:p w:rsidR="00403CD6" w:rsidRDefault="00403CD6">
            <w:pPr>
              <w:jc w:val="right"/>
              <w:rPr>
                <w:rFonts w:ascii="Times New Roman" w:hAnsi="Times New Roman" w:cs="Times New Roman"/>
                <w:sz w:val="18"/>
                <w:szCs w:val="18"/>
              </w:rPr>
            </w:pPr>
          </w:p>
        </w:tc>
        <w:tc>
          <w:tcPr>
            <w:tcW w:w="84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1,067,082,657.57</w:t>
            </w:r>
          </w:p>
        </w:tc>
      </w:tr>
    </w:tbl>
    <w:p w:rsidR="00403CD6" w:rsidRDefault="00E91A59">
      <w:pPr>
        <w:keepNext/>
        <w:keepLines/>
        <w:spacing w:before="300" w:after="300" w:line="280" w:lineRule="exact"/>
        <w:outlineLvl w:val="2"/>
        <w:rPr>
          <w:rFonts w:ascii="宋体" w:eastAsia="宋体" w:hAnsi="宋体" w:cs="宋体"/>
          <w:b/>
          <w:bCs/>
          <w:szCs w:val="21"/>
        </w:rPr>
      </w:pPr>
      <w:bookmarkStart w:id="92" w:name="_Toc989314"/>
      <w:r>
        <w:rPr>
          <w:rFonts w:ascii="宋体" w:eastAsia="宋体" w:hAnsi="宋体" w:cs="宋体" w:hint="eastAsia"/>
          <w:b/>
          <w:bCs/>
          <w:szCs w:val="21"/>
        </w:rPr>
        <w:t>24、所有权或使用权受到限制的资产</w:t>
      </w:r>
      <w:bookmarkEnd w:id="92"/>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79"/>
        <w:gridCol w:w="850"/>
        <w:gridCol w:w="851"/>
        <w:gridCol w:w="567"/>
        <w:gridCol w:w="1984"/>
        <w:gridCol w:w="851"/>
        <w:gridCol w:w="850"/>
        <w:gridCol w:w="851"/>
        <w:gridCol w:w="1962"/>
      </w:tblGrid>
      <w:tr w:rsidR="00403CD6">
        <w:trPr>
          <w:trHeight w:val="284"/>
        </w:trPr>
        <w:tc>
          <w:tcPr>
            <w:tcW w:w="879" w:type="dxa"/>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4252" w:type="dxa"/>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w:t>
            </w:r>
          </w:p>
        </w:tc>
        <w:tc>
          <w:tcPr>
            <w:tcW w:w="4514" w:type="dxa"/>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w:t>
            </w:r>
          </w:p>
        </w:tc>
      </w:tr>
      <w:tr w:rsidR="00403CD6">
        <w:trPr>
          <w:trHeight w:val="284"/>
        </w:trPr>
        <w:tc>
          <w:tcPr>
            <w:tcW w:w="879" w:type="dxa"/>
            <w:vMerge/>
            <w:vAlign w:val="center"/>
          </w:tcPr>
          <w:p w:rsidR="00403CD6" w:rsidRDefault="00403CD6">
            <w:pPr>
              <w:widowControl/>
              <w:rPr>
                <w:rFonts w:ascii="Times New Roman" w:eastAsia="宋体" w:hAnsi="Times New Roman" w:cs="Times New Roman"/>
                <w:sz w:val="18"/>
                <w:szCs w:val="18"/>
              </w:rPr>
            </w:pPr>
          </w:p>
        </w:tc>
        <w:tc>
          <w:tcPr>
            <w:tcW w:w="850"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8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567"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受限类型</w:t>
            </w:r>
          </w:p>
        </w:tc>
        <w:tc>
          <w:tcPr>
            <w:tcW w:w="1984"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受限情况</w:t>
            </w:r>
          </w:p>
        </w:tc>
        <w:tc>
          <w:tcPr>
            <w:tcW w:w="8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850"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8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受限类型</w:t>
            </w:r>
          </w:p>
        </w:tc>
        <w:tc>
          <w:tcPr>
            <w:tcW w:w="196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受限情况</w:t>
            </w:r>
          </w:p>
        </w:tc>
      </w:tr>
      <w:tr w:rsidR="00403CD6">
        <w:trPr>
          <w:trHeight w:val="284"/>
        </w:trPr>
        <w:tc>
          <w:tcPr>
            <w:tcW w:w="879"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固定资产</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34,375,256,421.29</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20,001,586,415.43</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作为银行借款、长期应付款的抵押物（附注七、</w:t>
            </w:r>
            <w:r>
              <w:rPr>
                <w:rFonts w:ascii="Times New Roman" w:hAnsi="Times New Roman" w:cs="Times New Roman"/>
                <w:color w:val="000000"/>
                <w:sz w:val="18"/>
                <w:szCs w:val="18"/>
              </w:rPr>
              <w:t>15</w:t>
            </w:r>
            <w:r>
              <w:rPr>
                <w:rFonts w:cs="Times New Roman"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9,411,111,670.62</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6,303,095,864.20</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作为银行借款、长期应付款的抵押物（附注七、</w:t>
            </w:r>
            <w:r>
              <w:rPr>
                <w:rFonts w:ascii="Times New Roman" w:hAnsi="Times New Roman" w:cs="Times New Roman"/>
                <w:color w:val="000000"/>
                <w:sz w:val="18"/>
                <w:szCs w:val="18"/>
              </w:rPr>
              <w:t>15</w:t>
            </w:r>
            <w:r>
              <w:rPr>
                <w:rFonts w:cs="Times New Roman" w:hint="eastAsia"/>
                <w:color w:val="000000"/>
                <w:sz w:val="18"/>
                <w:szCs w:val="18"/>
              </w:rPr>
              <w:t>）</w:t>
            </w:r>
          </w:p>
        </w:tc>
      </w:tr>
      <w:tr w:rsidR="00403CD6">
        <w:trPr>
          <w:trHeight w:val="284"/>
        </w:trPr>
        <w:tc>
          <w:tcPr>
            <w:tcW w:w="879"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投资性房地产</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6,742,657,317.44</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5,433,525,500.09</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作为银行借款的抵押物（附注七、</w:t>
            </w:r>
            <w:r>
              <w:rPr>
                <w:rFonts w:ascii="Times New Roman" w:hAnsi="Times New Roman" w:cs="Times New Roman" w:hint="eastAsia"/>
                <w:color w:val="000000"/>
                <w:sz w:val="18"/>
                <w:szCs w:val="18"/>
              </w:rPr>
              <w:t>14</w:t>
            </w:r>
            <w:r>
              <w:rPr>
                <w:rFonts w:cs="Times New Roman"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5,941,741,699.60</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5,004,776,921.76</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作为银行借款的抵押物（附注七、</w:t>
            </w:r>
            <w:r>
              <w:rPr>
                <w:rFonts w:ascii="Times New Roman" w:hAnsi="Times New Roman" w:cs="Times New Roman" w:hint="eastAsia"/>
                <w:color w:val="000000"/>
                <w:sz w:val="18"/>
                <w:szCs w:val="18"/>
              </w:rPr>
              <w:t>14</w:t>
            </w:r>
            <w:r>
              <w:rPr>
                <w:rFonts w:cs="Times New Roman" w:hint="eastAsia"/>
                <w:color w:val="000000"/>
                <w:sz w:val="18"/>
                <w:szCs w:val="18"/>
              </w:rPr>
              <w:t>）</w:t>
            </w:r>
          </w:p>
        </w:tc>
      </w:tr>
      <w:tr w:rsidR="00403CD6">
        <w:trPr>
          <w:trHeight w:val="284"/>
        </w:trPr>
        <w:tc>
          <w:tcPr>
            <w:tcW w:w="879"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货币资金</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5,728,747,806.12</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5,728,747,806.12</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质押、冻结</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作为承兑票据、信用证保证金、贷款保证金、存款准备金或账户冻结以及应收利息、被诉讼冻结等（附注七、</w:t>
            </w:r>
            <w:r>
              <w:rPr>
                <w:rFonts w:ascii="Times New Roman" w:hAnsi="Times New Roman" w:cs="Times New Roman"/>
                <w:color w:val="000000"/>
                <w:sz w:val="18"/>
                <w:szCs w:val="18"/>
              </w:rPr>
              <w:t>1</w:t>
            </w:r>
            <w:r>
              <w:rPr>
                <w:rFonts w:cs="Times New Roman"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11,360,599,088.69</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11,360,599,088.69</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质押、冻结</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作为银行承兑票据、信用证保证金、保函保证金、贷款保证金、存款准备金以及应收利息等（附注七、</w:t>
            </w:r>
            <w:r>
              <w:rPr>
                <w:rFonts w:ascii="Times New Roman" w:hAnsi="Times New Roman" w:cs="Times New Roman"/>
                <w:color w:val="000000"/>
                <w:sz w:val="18"/>
                <w:szCs w:val="18"/>
              </w:rPr>
              <w:t>1</w:t>
            </w:r>
            <w:r>
              <w:rPr>
                <w:rFonts w:cs="Times New Roman" w:hint="eastAsia"/>
                <w:color w:val="000000"/>
                <w:sz w:val="18"/>
                <w:szCs w:val="18"/>
              </w:rPr>
              <w:t>）</w:t>
            </w:r>
          </w:p>
        </w:tc>
      </w:tr>
      <w:tr w:rsidR="00403CD6">
        <w:trPr>
          <w:trHeight w:val="284"/>
        </w:trPr>
        <w:tc>
          <w:tcPr>
            <w:tcW w:w="879"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lastRenderedPageBreak/>
              <w:t>无形资产</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1,789,243,785.12</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1,312,981,381.52</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作为银行借款、长期应付款的抵押物（附注七、</w:t>
            </w:r>
            <w:r>
              <w:rPr>
                <w:rFonts w:ascii="Times New Roman" w:hAnsi="Times New Roman" w:cs="Times New Roman" w:hint="eastAsia"/>
                <w:color w:val="000000"/>
                <w:sz w:val="18"/>
                <w:szCs w:val="18"/>
              </w:rPr>
              <w:t>19</w:t>
            </w:r>
            <w:r>
              <w:rPr>
                <w:rFonts w:cs="Times New Roman"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865,105,844.99</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665,784,045.39</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抵押</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作为银行借款、长期应付款的抵押物（附注七、</w:t>
            </w:r>
            <w:r>
              <w:rPr>
                <w:rFonts w:ascii="Times New Roman" w:hAnsi="Times New Roman" w:cs="Times New Roman" w:hint="eastAsia"/>
                <w:color w:val="000000"/>
                <w:sz w:val="18"/>
                <w:szCs w:val="18"/>
              </w:rPr>
              <w:t>19</w:t>
            </w:r>
            <w:r>
              <w:rPr>
                <w:rFonts w:cs="Times New Roman" w:hint="eastAsia"/>
                <w:color w:val="000000"/>
                <w:sz w:val="18"/>
                <w:szCs w:val="18"/>
              </w:rPr>
              <w:t>）</w:t>
            </w:r>
          </w:p>
        </w:tc>
      </w:tr>
      <w:tr w:rsidR="00403CD6">
        <w:trPr>
          <w:trHeight w:val="284"/>
        </w:trPr>
        <w:tc>
          <w:tcPr>
            <w:tcW w:w="879" w:type="dxa"/>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长期股权投资</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1,549,103,158.31</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1,549,103,158.31</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冻结</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因欠款被起诉冻结（附注七、</w:t>
            </w:r>
            <w:r>
              <w:rPr>
                <w:rFonts w:ascii="Times New Roman" w:hAnsi="Times New Roman" w:cs="Times New Roman"/>
                <w:color w:val="000000"/>
                <w:sz w:val="18"/>
                <w:szCs w:val="18"/>
              </w:rPr>
              <w:t>12</w:t>
            </w:r>
            <w:r>
              <w:rPr>
                <w:rFonts w:cs="Times New Roman"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879"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应收账款</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207,017,962.56</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206,147,426.74</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质押</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作为取得借款的质押物（附注七、</w:t>
            </w:r>
            <w:r>
              <w:rPr>
                <w:rFonts w:hint="eastAsia"/>
                <w:color w:val="000000"/>
                <w:sz w:val="18"/>
                <w:szCs w:val="18"/>
              </w:rPr>
              <w:t>4</w:t>
            </w:r>
            <w:r>
              <w:rPr>
                <w:rFonts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403,349,324.55</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398,710,807.32</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质押</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cs="Times New Roman" w:hint="eastAsia"/>
                <w:color w:val="000000"/>
                <w:sz w:val="18"/>
                <w:szCs w:val="18"/>
              </w:rPr>
              <w:t>作为取得借款的质押物（附注七、</w:t>
            </w:r>
            <w:r>
              <w:rPr>
                <w:rFonts w:ascii="Times New Roman" w:hAnsi="Times New Roman" w:cs="Times New Roman" w:hint="eastAsia"/>
                <w:color w:val="000000"/>
                <w:sz w:val="18"/>
                <w:szCs w:val="18"/>
              </w:rPr>
              <w:t>4</w:t>
            </w:r>
            <w:r>
              <w:rPr>
                <w:rFonts w:cs="Times New Roman" w:hint="eastAsia"/>
                <w:color w:val="000000"/>
                <w:sz w:val="18"/>
                <w:szCs w:val="18"/>
              </w:rPr>
              <w:t>）</w:t>
            </w:r>
          </w:p>
        </w:tc>
      </w:tr>
      <w:tr w:rsidR="00403CD6">
        <w:trPr>
          <w:trHeight w:val="284"/>
        </w:trPr>
        <w:tc>
          <w:tcPr>
            <w:tcW w:w="879"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存货</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120,195,864.99</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103,566,055.40</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法院查封</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因欠款被起诉查封（附注七、</w:t>
            </w:r>
            <w:r>
              <w:rPr>
                <w:rFonts w:hint="eastAsia"/>
                <w:color w:val="000000"/>
                <w:sz w:val="18"/>
                <w:szCs w:val="18"/>
              </w:rPr>
              <w:t>8</w:t>
            </w:r>
            <w:r>
              <w:rPr>
                <w:rFonts w:hint="eastAsia"/>
                <w:color w:val="000000"/>
                <w:sz w:val="18"/>
                <w:szCs w:val="18"/>
              </w:rPr>
              <w:t>）</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879" w:type="dxa"/>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应收款项融资</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567"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984"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90,551,168.01</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90,551,168.01</w:t>
            </w:r>
          </w:p>
        </w:tc>
        <w:tc>
          <w:tcPr>
            <w:tcW w:w="8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质押</w:t>
            </w:r>
          </w:p>
        </w:tc>
        <w:tc>
          <w:tcPr>
            <w:tcW w:w="196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作为取得开立信用证的质押物（附注七、</w:t>
            </w:r>
            <w:r>
              <w:rPr>
                <w:rFonts w:ascii="Times New Roman" w:hAnsi="Times New Roman" w:cs="Times New Roman" w:hint="eastAsia"/>
                <w:color w:val="000000"/>
                <w:sz w:val="18"/>
                <w:szCs w:val="18"/>
              </w:rPr>
              <w:t>5</w:t>
            </w:r>
            <w:r>
              <w:rPr>
                <w:rFonts w:ascii="Times New Roman" w:hAnsi="Times New Roman" w:cs="Times New Roman"/>
                <w:color w:val="000000"/>
                <w:sz w:val="18"/>
                <w:szCs w:val="18"/>
              </w:rPr>
              <w:t>）</w:t>
            </w:r>
          </w:p>
        </w:tc>
      </w:tr>
      <w:tr w:rsidR="00403CD6">
        <w:trPr>
          <w:trHeight w:val="284"/>
        </w:trPr>
        <w:tc>
          <w:tcPr>
            <w:tcW w:w="87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50,512,222,315.83</w:t>
            </w: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34,335,657,743.61</w:t>
            </w:r>
          </w:p>
        </w:tc>
        <w:tc>
          <w:tcPr>
            <w:tcW w:w="567" w:type="dxa"/>
            <w:shd w:val="clear" w:color="auto" w:fill="D3D3D3"/>
            <w:vAlign w:val="center"/>
          </w:tcPr>
          <w:p w:rsidR="00403CD6" w:rsidRDefault="00403CD6">
            <w:pPr>
              <w:rPr>
                <w:rFonts w:ascii="Times New Roman" w:hAnsi="Times New Roman" w:cs="Times New Roman"/>
              </w:rPr>
            </w:pPr>
          </w:p>
        </w:tc>
        <w:tc>
          <w:tcPr>
            <w:tcW w:w="1984" w:type="dxa"/>
            <w:shd w:val="clear" w:color="auto" w:fill="D3D3D3"/>
            <w:vAlign w:val="center"/>
          </w:tcPr>
          <w:p w:rsidR="00403CD6" w:rsidRDefault="00403CD6">
            <w:pPr>
              <w:rPr>
                <w:rFonts w:ascii="Times New Roman" w:hAnsi="Times New Roman" w:cs="Times New Roman"/>
              </w:rPr>
            </w:pPr>
          </w:p>
        </w:tc>
        <w:tc>
          <w:tcPr>
            <w:tcW w:w="85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28,072,458,796.46</w:t>
            </w:r>
          </w:p>
        </w:tc>
        <w:tc>
          <w:tcPr>
            <w:tcW w:w="850"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23,823,517,895.37</w:t>
            </w:r>
          </w:p>
        </w:tc>
        <w:tc>
          <w:tcPr>
            <w:tcW w:w="851" w:type="dxa"/>
            <w:shd w:val="clear" w:color="auto" w:fill="D3D3D3"/>
            <w:vAlign w:val="center"/>
          </w:tcPr>
          <w:p w:rsidR="00403CD6" w:rsidRDefault="00403CD6">
            <w:pPr>
              <w:rPr>
                <w:rFonts w:ascii="Times New Roman" w:hAnsi="Times New Roman" w:cs="Times New Roman"/>
              </w:rPr>
            </w:pPr>
          </w:p>
        </w:tc>
        <w:tc>
          <w:tcPr>
            <w:tcW w:w="1962" w:type="dxa"/>
            <w:shd w:val="clear" w:color="auto" w:fill="D3D3D3"/>
            <w:vAlign w:val="center"/>
          </w:tcPr>
          <w:p w:rsidR="00403CD6" w:rsidRDefault="00403CD6">
            <w:pPr>
              <w:rPr>
                <w:rFonts w:ascii="Times New Roman" w:hAnsi="Times New Roman" w:cs="Times New Roman"/>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其他说明：</w:t>
      </w:r>
    </w:p>
    <w:p w:rsidR="00403CD6" w:rsidRDefault="00E91A59">
      <w:pPr>
        <w:spacing w:before="100" w:after="10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于</w:t>
      </w:r>
      <w:r>
        <w:rPr>
          <w:rFonts w:ascii="Times New Roman" w:eastAsia="宋体" w:hAnsi="Times New Roman" w:cs="Times New Roman"/>
          <w:sz w:val="18"/>
          <w:szCs w:val="18"/>
        </w:rPr>
        <w:t>2024</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日，以账面价值</w:t>
      </w:r>
      <w:r>
        <w:rPr>
          <w:rFonts w:ascii="Times New Roman" w:eastAsia="宋体" w:hAnsi="Times New Roman" w:cs="Times New Roman"/>
          <w:sz w:val="18"/>
          <w:szCs w:val="18"/>
        </w:rPr>
        <w:t>20,001,586,415.43</w:t>
      </w:r>
      <w:r w:rsidR="006C14F7">
        <w:rPr>
          <w:rFonts w:ascii="Times New Roman" w:eastAsia="宋体" w:hAnsi="Times New Roman" w:cs="Times New Roman" w:hint="eastAsia"/>
          <w:sz w:val="18"/>
          <w:szCs w:val="18"/>
        </w:rPr>
        <w:t>元</w:t>
      </w:r>
      <w:r>
        <w:rPr>
          <w:rFonts w:ascii="Times New Roman" w:eastAsia="宋体" w:hAnsi="Times New Roman" w:cs="Times New Roman" w:hint="eastAsia"/>
          <w:sz w:val="18"/>
          <w:szCs w:val="18"/>
        </w:rPr>
        <w:t>的房屋建筑物、设备（</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日：账面价值</w:t>
      </w:r>
      <w:r>
        <w:rPr>
          <w:rFonts w:ascii="Times New Roman" w:eastAsia="宋体" w:hAnsi="Times New Roman" w:cs="Times New Roman"/>
          <w:sz w:val="18"/>
          <w:szCs w:val="18"/>
        </w:rPr>
        <w:t>6,303,095,864.20</w:t>
      </w:r>
      <w:r>
        <w:rPr>
          <w:rFonts w:ascii="Times New Roman" w:eastAsia="宋体" w:hAnsi="Times New Roman" w:cs="Times New Roman" w:hint="eastAsia"/>
          <w:sz w:val="18"/>
          <w:szCs w:val="18"/>
        </w:rPr>
        <w:t>元）为抵押，以账面价值为</w:t>
      </w:r>
      <w:r>
        <w:rPr>
          <w:rFonts w:ascii="Times New Roman" w:eastAsia="宋体" w:hAnsi="Times New Roman" w:cs="Times New Roman"/>
          <w:sz w:val="18"/>
          <w:szCs w:val="18"/>
        </w:rPr>
        <w:t>5,433,525,500.09</w:t>
      </w:r>
      <w:r>
        <w:rPr>
          <w:rFonts w:ascii="Times New Roman" w:eastAsia="宋体" w:hAnsi="Times New Roman" w:cs="Times New Roman" w:hint="eastAsia"/>
          <w:sz w:val="18"/>
          <w:szCs w:val="18"/>
        </w:rPr>
        <w:t>元的投资性房地产（</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日：账面价值</w:t>
      </w:r>
      <w:r>
        <w:rPr>
          <w:rFonts w:ascii="Times New Roman" w:eastAsia="宋体" w:hAnsi="Times New Roman" w:cs="Times New Roman"/>
          <w:sz w:val="18"/>
          <w:szCs w:val="18"/>
        </w:rPr>
        <w:t>5,004,776,921.76</w:t>
      </w:r>
      <w:r>
        <w:rPr>
          <w:rFonts w:ascii="Times New Roman" w:eastAsia="宋体" w:hAnsi="Times New Roman" w:cs="Times New Roman" w:hint="eastAsia"/>
          <w:sz w:val="18"/>
          <w:szCs w:val="18"/>
        </w:rPr>
        <w:t>元）以及以账面价值为</w:t>
      </w:r>
      <w:r>
        <w:rPr>
          <w:rFonts w:ascii="Times New Roman" w:eastAsia="宋体" w:hAnsi="Times New Roman" w:cs="Times New Roman"/>
          <w:sz w:val="18"/>
          <w:szCs w:val="18"/>
        </w:rPr>
        <w:t>1,312,981,381.52</w:t>
      </w:r>
      <w:r>
        <w:rPr>
          <w:rFonts w:ascii="Times New Roman" w:eastAsia="宋体" w:hAnsi="Times New Roman" w:cs="Times New Roman" w:hint="eastAsia"/>
          <w:sz w:val="18"/>
          <w:szCs w:val="18"/>
        </w:rPr>
        <w:t>元的无形资产（</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日：账面价值</w:t>
      </w:r>
      <w:r>
        <w:rPr>
          <w:rFonts w:ascii="Times New Roman" w:eastAsia="宋体" w:hAnsi="Times New Roman" w:cs="Times New Roman"/>
          <w:sz w:val="18"/>
          <w:szCs w:val="18"/>
        </w:rPr>
        <w:t>665,784,045.39</w:t>
      </w:r>
      <w:r>
        <w:rPr>
          <w:rFonts w:ascii="Times New Roman" w:eastAsia="宋体" w:hAnsi="Times New Roman" w:cs="Times New Roman" w:hint="eastAsia"/>
          <w:sz w:val="18"/>
          <w:szCs w:val="18"/>
        </w:rPr>
        <w:t>元）作为</w:t>
      </w:r>
      <w:r>
        <w:rPr>
          <w:rFonts w:ascii="Times New Roman" w:eastAsia="宋体" w:hAnsi="Times New Roman" w:cs="Times New Roman"/>
          <w:sz w:val="18"/>
          <w:szCs w:val="18"/>
        </w:rPr>
        <w:t>3,669,467,809.18</w:t>
      </w:r>
      <w:r>
        <w:rPr>
          <w:rFonts w:ascii="Times New Roman" w:eastAsia="宋体" w:hAnsi="Times New Roman" w:cs="Times New Roman" w:hint="eastAsia"/>
          <w:sz w:val="18"/>
          <w:szCs w:val="18"/>
        </w:rPr>
        <w:t>元长期借款（</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w:t>
      </w:r>
      <w:r>
        <w:rPr>
          <w:rFonts w:ascii="Times New Roman" w:eastAsia="宋体" w:hAnsi="Times New Roman" w:cs="Times New Roman"/>
          <w:sz w:val="18"/>
          <w:szCs w:val="18"/>
        </w:rPr>
        <w:t>4,262,800,469.08</w:t>
      </w:r>
      <w:r>
        <w:rPr>
          <w:rFonts w:ascii="Times New Roman" w:eastAsia="宋体" w:hAnsi="Times New Roman" w:cs="Times New Roman" w:hint="eastAsia"/>
          <w:sz w:val="18"/>
          <w:szCs w:val="18"/>
        </w:rPr>
        <w:t>元）、</w:t>
      </w:r>
      <w:r>
        <w:rPr>
          <w:rFonts w:ascii="Times New Roman" w:eastAsia="宋体" w:hAnsi="Times New Roman" w:cs="Times New Roman"/>
          <w:sz w:val="18"/>
          <w:szCs w:val="18"/>
        </w:rPr>
        <w:t>1,375,200,404.98</w:t>
      </w:r>
      <w:r>
        <w:rPr>
          <w:rFonts w:ascii="Times New Roman" w:eastAsia="宋体" w:hAnsi="Times New Roman" w:cs="Times New Roman" w:hint="eastAsia"/>
          <w:sz w:val="18"/>
          <w:szCs w:val="18"/>
        </w:rPr>
        <w:t>元的短期借款（</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w:t>
      </w:r>
      <w:r>
        <w:rPr>
          <w:rFonts w:ascii="Times New Roman" w:eastAsia="宋体" w:hAnsi="Times New Roman" w:cs="Times New Roman"/>
          <w:sz w:val="18"/>
          <w:szCs w:val="18"/>
        </w:rPr>
        <w:t>85,000,000.00</w:t>
      </w:r>
      <w:r>
        <w:rPr>
          <w:rFonts w:ascii="Times New Roman" w:eastAsia="宋体" w:hAnsi="Times New Roman" w:cs="Times New Roman" w:hint="eastAsia"/>
          <w:sz w:val="18"/>
          <w:szCs w:val="18"/>
        </w:rPr>
        <w:t>元）、</w:t>
      </w:r>
      <w:r>
        <w:rPr>
          <w:rFonts w:ascii="Times New Roman" w:eastAsia="宋体" w:hAnsi="Times New Roman" w:cs="Times New Roman"/>
          <w:sz w:val="18"/>
          <w:szCs w:val="18"/>
        </w:rPr>
        <w:t>3,600,767,587.75</w:t>
      </w:r>
      <w:r w:rsidR="003B0A57">
        <w:rPr>
          <w:rFonts w:ascii="Times New Roman" w:eastAsia="宋体" w:hAnsi="Times New Roman" w:cs="Times New Roman" w:hint="eastAsia"/>
          <w:sz w:val="18"/>
          <w:szCs w:val="18"/>
        </w:rPr>
        <w:t>元</w:t>
      </w:r>
      <w:r>
        <w:rPr>
          <w:rFonts w:ascii="Times New Roman" w:eastAsia="宋体" w:hAnsi="Times New Roman" w:cs="Times New Roman" w:hint="eastAsia"/>
          <w:sz w:val="18"/>
          <w:szCs w:val="18"/>
        </w:rPr>
        <w:t>的长期应付款（</w:t>
      </w:r>
      <w:r>
        <w:rPr>
          <w:rFonts w:ascii="Times New Roman" w:eastAsia="宋体" w:hAnsi="Times New Roman" w:cs="Times New Roman"/>
          <w:sz w:val="18"/>
          <w:szCs w:val="18"/>
        </w:rPr>
        <w:t>2023</w:t>
      </w:r>
      <w:r>
        <w:rPr>
          <w:rFonts w:ascii="Times New Roman" w:eastAsia="宋体" w:hAnsi="Times New Roman" w:cs="Times New Roman" w:hint="eastAsia"/>
          <w:sz w:val="18"/>
          <w:szCs w:val="18"/>
        </w:rPr>
        <w:t>年</w:t>
      </w:r>
      <w:r>
        <w:rPr>
          <w:rFonts w:ascii="Times New Roman" w:eastAsia="宋体" w:hAnsi="Times New Roman" w:cs="Times New Roman"/>
          <w:sz w:val="18"/>
          <w:szCs w:val="18"/>
        </w:rPr>
        <w:t>12</w:t>
      </w:r>
      <w:r>
        <w:rPr>
          <w:rFonts w:ascii="Times New Roman" w:eastAsia="宋体" w:hAnsi="Times New Roman" w:cs="Times New Roman" w:hint="eastAsia"/>
          <w:sz w:val="18"/>
          <w:szCs w:val="18"/>
        </w:rPr>
        <w:t>月</w:t>
      </w:r>
      <w:r>
        <w:rPr>
          <w:rFonts w:ascii="Times New Roman" w:eastAsia="宋体" w:hAnsi="Times New Roman" w:cs="Times New Roman"/>
          <w:sz w:val="18"/>
          <w:szCs w:val="18"/>
        </w:rPr>
        <w:t>31</w:t>
      </w:r>
      <w:r>
        <w:rPr>
          <w:rFonts w:ascii="Times New Roman" w:eastAsia="宋体" w:hAnsi="Times New Roman" w:cs="Times New Roman" w:hint="eastAsia"/>
          <w:sz w:val="18"/>
          <w:szCs w:val="18"/>
        </w:rPr>
        <w:t>日：</w:t>
      </w:r>
      <w:r>
        <w:rPr>
          <w:rFonts w:ascii="Times New Roman" w:eastAsia="宋体" w:hAnsi="Times New Roman" w:cs="Times New Roman"/>
          <w:sz w:val="18"/>
          <w:szCs w:val="18"/>
        </w:rPr>
        <w:t>4,345,793,513.95</w:t>
      </w:r>
      <w:r>
        <w:rPr>
          <w:rFonts w:ascii="Times New Roman" w:eastAsia="宋体" w:hAnsi="Times New Roman" w:cs="Times New Roman" w:hint="eastAsia"/>
          <w:sz w:val="18"/>
          <w:szCs w:val="18"/>
        </w:rPr>
        <w:t>元）的抵押物。</w:t>
      </w:r>
    </w:p>
    <w:p w:rsidR="00403CD6" w:rsidRDefault="00E91A59">
      <w:pPr>
        <w:keepNext/>
        <w:keepLines/>
        <w:spacing w:before="300" w:after="300" w:line="280" w:lineRule="exact"/>
        <w:outlineLvl w:val="2"/>
        <w:rPr>
          <w:rFonts w:ascii="宋体" w:eastAsia="宋体" w:hAnsi="宋体" w:cs="宋体"/>
          <w:b/>
          <w:bCs/>
          <w:szCs w:val="21"/>
        </w:rPr>
      </w:pPr>
      <w:bookmarkStart w:id="93" w:name="_Toc989315"/>
      <w:r>
        <w:rPr>
          <w:rFonts w:ascii="宋体" w:eastAsia="宋体" w:hAnsi="宋体" w:cs="宋体" w:hint="eastAsia"/>
          <w:b/>
          <w:bCs/>
          <w:szCs w:val="21"/>
        </w:rPr>
        <w:t>25、短期借款</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短期借款分类</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贴现借款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8,292,279,333.33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12,270,872,000.00</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信用借款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8,179,010,348.64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9,908,287,425.27</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保证借款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8,087,802,486.06</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9,785,629,371.41</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抵押借款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1,375,200,404.98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85,000,000.00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质押借款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846,066,236.10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1,425,690,224.94</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26,780,358,809.11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33,475,479,021.62</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短期借款分类的说明：</w:t>
      </w:r>
    </w:p>
    <w:p w:rsidR="00403CD6" w:rsidRDefault="00E91A59">
      <w:pPr>
        <w:rPr>
          <w:rFonts w:asciiTheme="minorEastAsia" w:hAnsiTheme="minorEastAsia"/>
          <w:sz w:val="18"/>
          <w:szCs w:val="18"/>
        </w:rPr>
      </w:pPr>
      <w:r>
        <w:rPr>
          <w:rFonts w:asciiTheme="minorEastAsia" w:hAnsiTheme="minorEastAsia" w:hint="eastAsia"/>
          <w:sz w:val="18"/>
          <w:szCs w:val="18"/>
        </w:rPr>
        <w:t>①抵押借款的抵押资产类别以及金额，参见附注七、1货币资金及七、24所有权或使用权受限制的资产。</w:t>
      </w:r>
    </w:p>
    <w:p w:rsidR="00403CD6" w:rsidRDefault="00E91A59">
      <w:pPr>
        <w:rPr>
          <w:rFonts w:asciiTheme="minorEastAsia" w:hAnsiTheme="minorEastAsia"/>
          <w:sz w:val="18"/>
          <w:szCs w:val="18"/>
        </w:rPr>
      </w:pPr>
      <w:r>
        <w:rPr>
          <w:rFonts w:asciiTheme="minorEastAsia" w:hAnsiTheme="minorEastAsia" w:hint="eastAsia"/>
          <w:sz w:val="18"/>
          <w:szCs w:val="18"/>
        </w:rPr>
        <w:t>②质押借款的抵押资产类别以及金额，参见附注七、1货币资金及七、24所有权或使用权受限制的资产。</w:t>
      </w:r>
    </w:p>
    <w:p w:rsidR="00403CD6" w:rsidRDefault="00E91A59">
      <w:pPr>
        <w:rPr>
          <w:rFonts w:asciiTheme="minorEastAsia" w:hAnsiTheme="minorEastAsia"/>
          <w:sz w:val="18"/>
          <w:szCs w:val="18"/>
        </w:rPr>
      </w:pPr>
      <w:r>
        <w:rPr>
          <w:rFonts w:asciiTheme="minorEastAsia" w:hAnsiTheme="minorEastAsia" w:hint="eastAsia"/>
          <w:sz w:val="18"/>
          <w:szCs w:val="18"/>
        </w:rPr>
        <w:t>③短期借款中含应计利息</w:t>
      </w:r>
      <w:r>
        <w:rPr>
          <w:rFonts w:ascii="Times New Roman" w:hAnsi="Times New Roman" w:cs="Times New Roman" w:hint="eastAsia"/>
          <w:color w:val="000000"/>
          <w:sz w:val="18"/>
          <w:szCs w:val="18"/>
        </w:rPr>
        <w:t>28,011,462.42</w:t>
      </w:r>
      <w:r>
        <w:rPr>
          <w:rFonts w:asciiTheme="minorEastAsia" w:hAnsiTheme="minorEastAsia" w:hint="eastAsia"/>
          <w:sz w:val="18"/>
          <w:szCs w:val="18"/>
        </w:rPr>
        <w:t>元。</w:t>
      </w:r>
    </w:p>
    <w:p w:rsidR="00403CD6" w:rsidRDefault="00E91A59">
      <w:pPr>
        <w:rPr>
          <w:rFonts w:asciiTheme="minorEastAsia" w:hAnsiTheme="minorEastAsia"/>
          <w:sz w:val="18"/>
          <w:szCs w:val="18"/>
        </w:rPr>
      </w:pPr>
      <w:r>
        <w:rPr>
          <w:rFonts w:asciiTheme="minorEastAsia" w:hAnsiTheme="minorEastAsia" w:hint="eastAsia"/>
          <w:sz w:val="18"/>
          <w:szCs w:val="18"/>
        </w:rPr>
        <w:t>④抵押借款中的</w:t>
      </w:r>
      <w:r>
        <w:rPr>
          <w:rFonts w:ascii="Times New Roman" w:hAnsi="Times New Roman" w:cs="Times New Roman" w:hint="eastAsia"/>
          <w:color w:val="000000"/>
          <w:sz w:val="18"/>
          <w:szCs w:val="18"/>
        </w:rPr>
        <w:t>1,340,000,000.00</w:t>
      </w:r>
      <w:r>
        <w:rPr>
          <w:rFonts w:asciiTheme="minorEastAsia" w:hAnsiTheme="minorEastAsia" w:hint="eastAsia"/>
          <w:sz w:val="18"/>
          <w:szCs w:val="18"/>
        </w:rPr>
        <w:t>元，同时由关联方提供了担保。</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逾期借款情况</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期末本公司债务逾期合计金额</w:t>
      </w:r>
      <w:r>
        <w:rPr>
          <w:rFonts w:ascii="Times New Roman" w:eastAsia="宋体" w:hAnsi="Times New Roman" w:cs="Times New Roman" w:hint="eastAsia"/>
          <w:sz w:val="18"/>
          <w:szCs w:val="18"/>
        </w:rPr>
        <w:t>2,146,408,352.63</w:t>
      </w:r>
      <w:r>
        <w:rPr>
          <w:rFonts w:ascii="Times New Roman" w:eastAsia="宋体" w:hAnsi="Times New Roman" w:cs="Times New Roman" w:hint="eastAsia"/>
          <w:sz w:val="18"/>
          <w:szCs w:val="18"/>
        </w:rPr>
        <w:t>元，其中短期借款逾期</w:t>
      </w:r>
      <w:r>
        <w:rPr>
          <w:rFonts w:ascii="Times New Roman" w:eastAsia="宋体" w:hAnsi="Times New Roman" w:cs="Times New Roman" w:hint="eastAsia"/>
          <w:sz w:val="18"/>
          <w:szCs w:val="18"/>
        </w:rPr>
        <w:t>469,368,352.63</w:t>
      </w:r>
      <w:r>
        <w:rPr>
          <w:rFonts w:ascii="Times New Roman" w:eastAsia="宋体" w:hAnsi="Times New Roman" w:cs="Times New Roman" w:hint="eastAsia"/>
          <w:sz w:val="18"/>
          <w:szCs w:val="18"/>
        </w:rPr>
        <w:t>元</w:t>
      </w:r>
      <w:r>
        <w:rPr>
          <w:rFonts w:ascii="Times New Roman" w:eastAsia="宋体" w:hAnsi="Times New Roman" w:cs="Times New Roman"/>
          <w:sz w:val="18"/>
          <w:szCs w:val="18"/>
        </w:rPr>
        <w:t>，并根据</w:t>
      </w:r>
      <w:r>
        <w:rPr>
          <w:rFonts w:ascii="Times New Roman" w:eastAsia="宋体" w:hAnsi="Times New Roman" w:cs="Times New Roman" w:hint="eastAsia"/>
          <w:sz w:val="18"/>
          <w:szCs w:val="18"/>
        </w:rPr>
        <w:t>《企业会计准则解释第</w:t>
      </w:r>
      <w:r>
        <w:rPr>
          <w:rFonts w:ascii="Times New Roman" w:eastAsia="宋体" w:hAnsi="Times New Roman" w:cs="Times New Roman" w:hint="eastAsia"/>
          <w:sz w:val="18"/>
          <w:szCs w:val="18"/>
        </w:rPr>
        <w:t>17</w:t>
      </w:r>
      <w:r>
        <w:rPr>
          <w:rFonts w:ascii="Times New Roman" w:eastAsia="宋体" w:hAnsi="Times New Roman" w:cs="Times New Roman" w:hint="eastAsia"/>
          <w:sz w:val="18"/>
          <w:szCs w:val="18"/>
        </w:rPr>
        <w:t>号》</w:t>
      </w:r>
      <w:r>
        <w:rPr>
          <w:rFonts w:ascii="Times New Roman" w:eastAsia="宋体" w:hAnsi="Times New Roman" w:cs="Times New Roman"/>
          <w:sz w:val="18"/>
          <w:szCs w:val="18"/>
        </w:rPr>
        <w:t>规定转入短期借款列示的负债合计</w:t>
      </w:r>
      <w:r>
        <w:rPr>
          <w:rFonts w:ascii="Times New Roman" w:hAnsi="Times New Roman" w:cs="Times New Roman"/>
          <w:color w:val="000000"/>
          <w:sz w:val="18"/>
          <w:szCs w:val="18"/>
        </w:rPr>
        <w:t>1,677,040,000.00</w:t>
      </w:r>
      <w:r>
        <w:rPr>
          <w:rFonts w:ascii="Times New Roman" w:eastAsia="宋体" w:hAnsi="Times New Roman" w:cs="Times New Roman"/>
          <w:sz w:val="18"/>
          <w:szCs w:val="18"/>
        </w:rPr>
        <w:t>元</w:t>
      </w:r>
      <w:r>
        <w:rPr>
          <w:rFonts w:ascii="Times New Roman" w:eastAsia="宋体" w:hAnsi="Times New Roman" w:cs="Times New Roman" w:hint="eastAsia"/>
          <w:sz w:val="18"/>
          <w:szCs w:val="18"/>
        </w:rPr>
        <w:t>，包括逾期银行承兑汇票转入</w:t>
      </w:r>
      <w:r>
        <w:rPr>
          <w:rFonts w:ascii="Times New Roman" w:eastAsia="宋体" w:hAnsi="Times New Roman" w:cs="Times New Roman" w:hint="eastAsia"/>
          <w:sz w:val="18"/>
          <w:szCs w:val="18"/>
        </w:rPr>
        <w:t>672,040,000.00</w:t>
      </w:r>
      <w:r>
        <w:rPr>
          <w:rFonts w:ascii="Times New Roman" w:eastAsia="宋体" w:hAnsi="Times New Roman" w:cs="Times New Roman" w:hint="eastAsia"/>
          <w:sz w:val="18"/>
          <w:szCs w:val="18"/>
        </w:rPr>
        <w:t>元，逾期长期借款转入</w:t>
      </w:r>
      <w:r>
        <w:rPr>
          <w:rFonts w:ascii="Times New Roman" w:eastAsia="宋体" w:hAnsi="Times New Roman" w:cs="Times New Roman" w:hint="eastAsia"/>
          <w:sz w:val="18"/>
          <w:szCs w:val="18"/>
        </w:rPr>
        <w:t>760,000,000.00</w:t>
      </w:r>
      <w:r>
        <w:rPr>
          <w:rFonts w:ascii="Times New Roman" w:eastAsia="宋体" w:hAnsi="Times New Roman" w:cs="Times New Roman" w:hint="eastAsia"/>
          <w:sz w:val="18"/>
          <w:szCs w:val="18"/>
        </w:rPr>
        <w:t>元，逾期一年内到期的非流动负债</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银行借款转入</w:t>
      </w:r>
      <w:r>
        <w:rPr>
          <w:rFonts w:ascii="Times New Roman" w:eastAsia="宋体" w:hAnsi="Times New Roman" w:cs="Times New Roman" w:hint="eastAsia"/>
          <w:sz w:val="18"/>
          <w:szCs w:val="18"/>
        </w:rPr>
        <w:t>245,000,000.00</w:t>
      </w:r>
      <w:r>
        <w:rPr>
          <w:rFonts w:ascii="Times New Roman" w:eastAsia="宋体" w:hAnsi="Times New Roman" w:cs="Times New Roman" w:hint="eastAsia"/>
          <w:sz w:val="18"/>
          <w:szCs w:val="18"/>
        </w:rPr>
        <w:t>元。</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重要的逾期借款情况</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985"/>
        <w:gridCol w:w="1701"/>
        <w:gridCol w:w="1701"/>
        <w:gridCol w:w="1523"/>
      </w:tblGrid>
      <w:tr w:rsidR="00403CD6">
        <w:trPr>
          <w:trHeight w:val="284"/>
        </w:trPr>
        <w:tc>
          <w:tcPr>
            <w:tcW w:w="14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借款单位</w:t>
            </w:r>
          </w:p>
        </w:tc>
        <w:tc>
          <w:tcPr>
            <w:tcW w:w="100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期末余额</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借款利率</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逾期时间</w:t>
            </w:r>
          </w:p>
        </w:tc>
        <w:tc>
          <w:tcPr>
            <w:tcW w:w="77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逾期利率</w:t>
            </w:r>
          </w:p>
        </w:tc>
      </w:tr>
      <w:tr w:rsidR="00403CD6">
        <w:trPr>
          <w:trHeight w:val="284"/>
        </w:trPr>
        <w:tc>
          <w:tcPr>
            <w:tcW w:w="149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国家开发银行广东省分行</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940,000,000.00</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4.90%</w:t>
            </w:r>
          </w:p>
        </w:tc>
        <w:tc>
          <w:tcPr>
            <w:tcW w:w="863"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2024-12-20</w:t>
            </w:r>
          </w:p>
        </w:tc>
        <w:tc>
          <w:tcPr>
            <w:tcW w:w="77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w:t>
            </w:r>
          </w:p>
        </w:tc>
      </w:tr>
      <w:tr w:rsidR="00403CD6">
        <w:trPr>
          <w:trHeight w:val="284"/>
        </w:trPr>
        <w:tc>
          <w:tcPr>
            <w:tcW w:w="149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中国银行股份有限公司湛江分行</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65,000,000.00</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5.50%</w:t>
            </w:r>
          </w:p>
        </w:tc>
        <w:tc>
          <w:tcPr>
            <w:tcW w:w="863"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2024-12-16</w:t>
            </w:r>
          </w:p>
        </w:tc>
        <w:tc>
          <w:tcPr>
            <w:tcW w:w="77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w:t>
            </w:r>
          </w:p>
        </w:tc>
      </w:tr>
      <w:tr w:rsidR="00403CD6">
        <w:trPr>
          <w:trHeight w:val="284"/>
        </w:trPr>
        <w:tc>
          <w:tcPr>
            <w:tcW w:w="14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合计</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1,005,000,000.00</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w:t>
            </w:r>
          </w:p>
        </w:tc>
        <w:tc>
          <w:tcPr>
            <w:tcW w:w="77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26、应付票据</w:t>
      </w:r>
    </w:p>
    <w:p w:rsidR="00403CD6" w:rsidRDefault="00E91A59">
      <w:pPr>
        <w:spacing w:before="40" w:after="40" w:line="240" w:lineRule="exact"/>
        <w:jc w:val="right"/>
        <w:rPr>
          <w:rFonts w:ascii="Times New Roman" w:eastAsia="宋体"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种类</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商业承兑汇票</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1,213,818,112.99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3,604,737,193.92</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银行承兑汇票</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210,100,000.00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1,014,249,270.03</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1,423,918,112.99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4,618,986,463.95</w:t>
            </w:r>
          </w:p>
        </w:tc>
      </w:tr>
    </w:tbl>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说明：本</w:t>
      </w:r>
      <w:proofErr w:type="gramStart"/>
      <w:r>
        <w:rPr>
          <w:rFonts w:ascii="宋体" w:eastAsia="宋体" w:hAnsi="宋体" w:cs="宋体" w:hint="eastAsia"/>
          <w:color w:val="000000"/>
          <w:kern w:val="0"/>
          <w:sz w:val="18"/>
          <w:szCs w:val="18"/>
        </w:rPr>
        <w:t>期末已</w:t>
      </w:r>
      <w:proofErr w:type="gramEnd"/>
      <w:r>
        <w:rPr>
          <w:rFonts w:ascii="宋体" w:eastAsia="宋体" w:hAnsi="宋体" w:cs="宋体" w:hint="eastAsia"/>
          <w:color w:val="000000"/>
          <w:kern w:val="0"/>
          <w:sz w:val="18"/>
          <w:szCs w:val="18"/>
        </w:rPr>
        <w:t>到期未支付的应付票据总额为</w:t>
      </w:r>
      <w:r>
        <w:rPr>
          <w:rFonts w:ascii="Times New Roman" w:hAnsi="Times New Roman" w:cs="Times New Roman" w:hint="eastAsia"/>
          <w:color w:val="000000"/>
          <w:sz w:val="18"/>
          <w:szCs w:val="18"/>
        </w:rPr>
        <w:t>3,488,013,610.78</w:t>
      </w:r>
      <w:r>
        <w:rPr>
          <w:rFonts w:ascii="宋体" w:eastAsia="宋体" w:hAnsi="宋体" w:cs="宋体" w:hint="eastAsia"/>
          <w:color w:val="000000"/>
          <w:kern w:val="0"/>
          <w:sz w:val="18"/>
          <w:szCs w:val="18"/>
        </w:rPr>
        <w:t>元，已分类至应付账款、其他应付款和短期借款列示。</w:t>
      </w:r>
    </w:p>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27、应付账款</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应付账款列示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货款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7,272,978,630.96</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3,329,807,929.61</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工程款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217,322,928.02</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222,541,200.98</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设备款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117,822,089.47</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107,663,951.56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服务费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2,163,435.99</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3,460,163.15</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98,680,322.03</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239,147,624.90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7,708,967,406.47</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3,902,620,870.20</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w:t>
      </w:r>
      <w:proofErr w:type="gramStart"/>
      <w:r>
        <w:rPr>
          <w:rFonts w:ascii="宋体" w:eastAsia="宋体" w:hAnsi="宋体" w:cs="宋体" w:hint="eastAsia"/>
          <w:b/>
          <w:bCs/>
          <w:szCs w:val="21"/>
        </w:rPr>
        <w:t>按账龄</w:t>
      </w:r>
      <w:proofErr w:type="gramEnd"/>
      <w:r>
        <w:rPr>
          <w:rFonts w:ascii="宋体" w:eastAsia="宋体" w:hAnsi="宋体" w:cs="宋体" w:hint="eastAsia"/>
          <w:b/>
          <w:bCs/>
          <w:szCs w:val="21"/>
        </w:rPr>
        <w:t>披露</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proofErr w:type="gramStart"/>
            <w:r>
              <w:rPr>
                <w:rFonts w:ascii="Times New Roman" w:eastAsia="宋体" w:hAnsi="Times New Roman" w:cs="Times New Roman"/>
                <w:sz w:val="18"/>
                <w:szCs w:val="18"/>
              </w:rPr>
              <w:t>未偿</w:t>
            </w:r>
            <w:proofErr w:type="gramEnd"/>
            <w:r>
              <w:rPr>
                <w:rFonts w:ascii="Times New Roman" w:eastAsia="宋体" w:hAnsi="Times New Roman" w:cs="Times New Roman"/>
                <w:sz w:val="18"/>
                <w:szCs w:val="18"/>
              </w:rPr>
              <w:t>还或结转的原因</w:t>
            </w:r>
          </w:p>
        </w:tc>
      </w:tr>
      <w:tr w:rsidR="00403CD6">
        <w:trPr>
          <w:trHeight w:val="284"/>
        </w:trPr>
        <w:tc>
          <w:tcPr>
            <w:tcW w:w="1667"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1</w:t>
            </w:r>
            <w:r>
              <w:rPr>
                <w:rFonts w:ascii="Times New Roman" w:hAnsi="Times New Roman" w:cs="Times New Roman" w:hint="eastAsia"/>
                <w:color w:val="000000"/>
                <w:sz w:val="18"/>
                <w:szCs w:val="18"/>
              </w:rPr>
              <w:t>年以内（含</w:t>
            </w:r>
            <w:r>
              <w:rPr>
                <w:rFonts w:ascii="Times New Roman" w:hAnsi="Times New Roman" w:cs="Times New Roman"/>
                <w:color w:val="000000"/>
                <w:sz w:val="18"/>
                <w:szCs w:val="18"/>
              </w:rPr>
              <w:t>1</w:t>
            </w:r>
            <w:r>
              <w:rPr>
                <w:rFonts w:ascii="Times New Roman" w:hAnsi="Times New Roman"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7,335,083,941.43</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hint="eastAsia"/>
                <w:color w:val="000000"/>
                <w:sz w:val="18"/>
                <w:szCs w:val="18"/>
              </w:rPr>
              <w:t>根据合同约定</w:t>
            </w:r>
          </w:p>
        </w:tc>
      </w:tr>
      <w:tr w:rsidR="00403CD6">
        <w:trPr>
          <w:trHeight w:val="284"/>
        </w:trPr>
        <w:tc>
          <w:tcPr>
            <w:tcW w:w="1667"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1</w:t>
            </w:r>
            <w:r>
              <w:rPr>
                <w:rFonts w:ascii="Times New Roman" w:hAnsi="Times New Roman" w:cs="Times New Roman" w:hint="eastAsia"/>
                <w:color w:val="000000"/>
                <w:sz w:val="18"/>
                <w:szCs w:val="18"/>
              </w:rPr>
              <w:t>至</w:t>
            </w:r>
            <w:r>
              <w:rPr>
                <w:rFonts w:ascii="Times New Roman" w:hAnsi="Times New Roman" w:cs="Times New Roman"/>
                <w:color w:val="000000"/>
                <w:sz w:val="18"/>
                <w:szCs w:val="18"/>
              </w:rPr>
              <w:t>2</w:t>
            </w:r>
            <w:r>
              <w:rPr>
                <w:rFonts w:ascii="Times New Roman" w:hAnsi="Times New Roman"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106,143,394.23</w:t>
            </w:r>
          </w:p>
        </w:tc>
        <w:tc>
          <w:tcPr>
            <w:tcW w:w="1666" w:type="pct"/>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hint="eastAsia"/>
                <w:color w:val="000000"/>
                <w:sz w:val="18"/>
                <w:szCs w:val="18"/>
              </w:rPr>
              <w:t>根据合同约定</w:t>
            </w:r>
          </w:p>
        </w:tc>
      </w:tr>
      <w:tr w:rsidR="00403CD6">
        <w:trPr>
          <w:trHeight w:val="284"/>
        </w:trPr>
        <w:tc>
          <w:tcPr>
            <w:tcW w:w="1667"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2</w:t>
            </w:r>
            <w:r>
              <w:rPr>
                <w:rFonts w:ascii="Times New Roman" w:hAnsi="Times New Roman" w:cs="Times New Roman" w:hint="eastAsia"/>
                <w:color w:val="000000"/>
                <w:sz w:val="18"/>
                <w:szCs w:val="18"/>
              </w:rPr>
              <w:t>至</w:t>
            </w:r>
            <w:r>
              <w:rPr>
                <w:rFonts w:ascii="Times New Roman" w:hAnsi="Times New Roman" w:cs="Times New Roman"/>
                <w:color w:val="000000"/>
                <w:sz w:val="18"/>
                <w:szCs w:val="18"/>
              </w:rPr>
              <w:t>3</w:t>
            </w:r>
            <w:r>
              <w:rPr>
                <w:rFonts w:ascii="Times New Roman" w:hAnsi="Times New Roman" w:cs="Times New Roman" w:hint="eastAsia"/>
                <w:color w:val="000000"/>
                <w:sz w:val="18"/>
                <w:szCs w:val="18"/>
              </w:rPr>
              <w:t>年</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59,054,724.68</w:t>
            </w:r>
          </w:p>
        </w:tc>
        <w:tc>
          <w:tcPr>
            <w:tcW w:w="1666" w:type="pct"/>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hint="eastAsia"/>
                <w:color w:val="000000"/>
                <w:sz w:val="18"/>
                <w:szCs w:val="18"/>
              </w:rPr>
              <w:t>根据合同约定</w:t>
            </w:r>
          </w:p>
        </w:tc>
      </w:tr>
      <w:tr w:rsidR="00403CD6">
        <w:trPr>
          <w:trHeight w:val="284"/>
        </w:trPr>
        <w:tc>
          <w:tcPr>
            <w:tcW w:w="1667"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3</w:t>
            </w:r>
            <w:r>
              <w:rPr>
                <w:rFonts w:ascii="Times New Roman" w:hAnsi="Times New Roman" w:cs="Times New Roman" w:hint="eastAsia"/>
                <w:color w:val="000000"/>
                <w:sz w:val="18"/>
                <w:szCs w:val="18"/>
              </w:rPr>
              <w:t>年以上</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208,685,346.13</w:t>
            </w:r>
          </w:p>
        </w:tc>
        <w:tc>
          <w:tcPr>
            <w:tcW w:w="1666" w:type="pct"/>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hint="eastAsia"/>
                <w:color w:val="000000"/>
                <w:sz w:val="18"/>
                <w:szCs w:val="18"/>
              </w:rPr>
              <w:t>根据合同约定</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7,708,967,406.47</w:t>
            </w:r>
          </w:p>
        </w:tc>
        <w:tc>
          <w:tcPr>
            <w:tcW w:w="1666" w:type="pct"/>
            <w:shd w:val="clear" w:color="auto" w:fill="D3D3D3"/>
            <w:vAlign w:val="center"/>
          </w:tcPr>
          <w:p w:rsidR="00403CD6" w:rsidRDefault="00403CD6">
            <w:pPr>
              <w:jc w:val="right"/>
              <w:rPr>
                <w:rFonts w:ascii="Times New Roman" w:hAnsi="Times New Roman" w:cs="Times New Roman"/>
                <w:color w:val="000000"/>
                <w:sz w:val="18"/>
                <w:szCs w:val="18"/>
              </w:rPr>
            </w:pPr>
          </w:p>
        </w:tc>
      </w:tr>
    </w:tbl>
    <w:p w:rsidR="00403CD6" w:rsidRDefault="00E91A59">
      <w:pPr>
        <w:widowControl/>
        <w:rPr>
          <w:rFonts w:ascii="宋体" w:eastAsia="宋体" w:hAnsi="宋体" w:cs="宋体"/>
          <w:color w:val="000000" w:themeColor="text1"/>
          <w:kern w:val="0"/>
          <w:sz w:val="18"/>
          <w:szCs w:val="18"/>
        </w:rPr>
      </w:pPr>
      <w:r>
        <w:rPr>
          <w:rFonts w:ascii="宋体" w:eastAsia="宋体" w:hAnsi="宋体" w:cs="宋体" w:hint="eastAsia"/>
          <w:color w:val="000000" w:themeColor="text1"/>
          <w:kern w:val="0"/>
          <w:sz w:val="18"/>
          <w:szCs w:val="18"/>
        </w:rPr>
        <w:t>公司应付账款的账龄分析所采用的</w:t>
      </w:r>
      <w:proofErr w:type="gramStart"/>
      <w:r>
        <w:rPr>
          <w:rFonts w:ascii="宋体" w:eastAsia="宋体" w:hAnsi="宋体" w:cs="宋体" w:hint="eastAsia"/>
          <w:color w:val="000000" w:themeColor="text1"/>
          <w:kern w:val="0"/>
          <w:sz w:val="18"/>
          <w:szCs w:val="18"/>
        </w:rPr>
        <w:t>的</w:t>
      </w:r>
      <w:proofErr w:type="gramEnd"/>
      <w:r>
        <w:rPr>
          <w:rFonts w:ascii="宋体" w:eastAsia="宋体" w:hAnsi="宋体" w:cs="宋体" w:hint="eastAsia"/>
          <w:color w:val="000000" w:themeColor="text1"/>
          <w:kern w:val="0"/>
          <w:sz w:val="18"/>
          <w:szCs w:val="18"/>
        </w:rPr>
        <w:t>基准是： 应付账款账龄是指公司尚未支付的应付账款的时间长度，以发票入账时间作为基准，把期末余额从期末开始逐笔往前确认，划分为1年以内，1-2年，2-3年，3年以上，一直确认</w:t>
      </w:r>
      <w:proofErr w:type="gramStart"/>
      <w:r>
        <w:rPr>
          <w:rFonts w:ascii="宋体" w:eastAsia="宋体" w:hAnsi="宋体" w:cs="宋体" w:hint="eastAsia"/>
          <w:color w:val="000000" w:themeColor="text1"/>
          <w:kern w:val="0"/>
          <w:sz w:val="18"/>
          <w:szCs w:val="18"/>
        </w:rPr>
        <w:t>到金额</w:t>
      </w:r>
      <w:proofErr w:type="gramEnd"/>
      <w:r>
        <w:rPr>
          <w:rFonts w:ascii="宋体" w:eastAsia="宋体" w:hAnsi="宋体" w:cs="宋体" w:hint="eastAsia"/>
          <w:color w:val="000000" w:themeColor="text1"/>
          <w:kern w:val="0"/>
          <w:sz w:val="18"/>
          <w:szCs w:val="18"/>
        </w:rPr>
        <w:t>达到余额数。</w:t>
      </w:r>
    </w:p>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28、其他应付款</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其他应付款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2,710,367,670.63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2,414,752,127.19</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应付股利</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123,000,000.00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应付利息</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63,042,283.31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2,896,409,953.94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2,414,752,127.19</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lastRenderedPageBreak/>
        <w:t>（1） 应付利息</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逾期借款利息</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49,289,730.81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tcBorders>
              <w:bottom w:val="single" w:sz="4" w:space="0" w:color="auto"/>
            </w:tcBorders>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逾期资金占用利息</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8,842,575.24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tcBorders>
              <w:bottom w:val="single" w:sz="4" w:space="0" w:color="auto"/>
            </w:tcBorders>
            <w:shd w:val="clear" w:color="auto" w:fill="D3D3D3"/>
            <w:vAlign w:val="center"/>
          </w:tcPr>
          <w:p w:rsidR="00403CD6" w:rsidRDefault="00E91A59">
            <w:pPr>
              <w:spacing w:before="40" w:after="40" w:line="240" w:lineRule="exact"/>
              <w:rPr>
                <w:color w:val="000000"/>
                <w:sz w:val="18"/>
                <w:szCs w:val="18"/>
              </w:rPr>
            </w:pPr>
            <w:r>
              <w:rPr>
                <w:rFonts w:hint="eastAsia"/>
                <w:color w:val="000000"/>
                <w:sz w:val="18"/>
                <w:szCs w:val="18"/>
              </w:rPr>
              <w:t>逾期票据利息</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2,397,040.00</w:t>
            </w:r>
          </w:p>
        </w:tc>
        <w:tc>
          <w:tcPr>
            <w:tcW w:w="1666" w:type="pct"/>
            <w:vAlign w:val="center"/>
          </w:tcPr>
          <w:p w:rsidR="00403CD6" w:rsidRDefault="00403CD6">
            <w:pPr>
              <w:spacing w:line="240" w:lineRule="exact"/>
              <w:jc w:val="right"/>
              <w:rPr>
                <w:rFonts w:ascii="Times New Roman" w:hAnsi="Times New Roman" w:cs="Times New Roman"/>
                <w:color w:val="000000"/>
                <w:sz w:val="18"/>
                <w:szCs w:val="18"/>
              </w:rPr>
            </w:pPr>
          </w:p>
        </w:tc>
      </w:tr>
      <w:tr w:rsidR="00403CD6">
        <w:trPr>
          <w:trHeight w:val="284"/>
        </w:trPr>
        <w:tc>
          <w:tcPr>
            <w:tcW w:w="1667" w:type="pct"/>
            <w:tcBorders>
              <w:bottom w:val="single" w:sz="4" w:space="0" w:color="auto"/>
            </w:tcBorders>
            <w:shd w:val="clear" w:color="auto" w:fill="D3D3D3"/>
            <w:vAlign w:val="center"/>
          </w:tcPr>
          <w:p w:rsidR="00403CD6" w:rsidRDefault="00E91A59">
            <w:pPr>
              <w:spacing w:before="40" w:after="40" w:line="240" w:lineRule="exact"/>
              <w:rPr>
                <w:color w:val="000000"/>
                <w:sz w:val="18"/>
                <w:szCs w:val="18"/>
              </w:rPr>
            </w:pPr>
            <w:r>
              <w:rPr>
                <w:rFonts w:hint="eastAsia"/>
                <w:color w:val="000000"/>
                <w:sz w:val="18"/>
                <w:szCs w:val="18"/>
              </w:rPr>
              <w:t>逾期融资租赁款利息</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2,512,937.26</w:t>
            </w:r>
          </w:p>
        </w:tc>
        <w:tc>
          <w:tcPr>
            <w:tcW w:w="1666" w:type="pct"/>
            <w:vAlign w:val="center"/>
          </w:tcPr>
          <w:p w:rsidR="00403CD6" w:rsidRDefault="00403CD6">
            <w:pPr>
              <w:spacing w:line="240" w:lineRule="exact"/>
              <w:jc w:val="right"/>
              <w:rPr>
                <w:rFonts w:ascii="Times New Roman" w:hAnsi="Times New Roman" w:cs="Times New Roman"/>
                <w:color w:val="000000"/>
                <w:sz w:val="18"/>
                <w:szCs w:val="18"/>
              </w:rPr>
            </w:pPr>
          </w:p>
        </w:tc>
      </w:tr>
      <w:tr w:rsidR="00403CD6">
        <w:trPr>
          <w:trHeight w:val="284"/>
        </w:trPr>
        <w:tc>
          <w:tcPr>
            <w:tcW w:w="1667" w:type="pct"/>
            <w:shd w:val="clear" w:color="auto" w:fill="D9D9D9" w:themeFill="background1" w:themeFillShade="D9"/>
            <w:vAlign w:val="center"/>
          </w:tcPr>
          <w:p w:rsidR="00403CD6" w:rsidRDefault="00E91A59">
            <w:pPr>
              <w:spacing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63,042,283.31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应付股利</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4"/>
        <w:gridCol w:w="2266"/>
        <w:gridCol w:w="2233"/>
      </w:tblGrid>
      <w:tr w:rsidR="00403CD6">
        <w:trPr>
          <w:trHeight w:val="284"/>
        </w:trPr>
        <w:tc>
          <w:tcPr>
            <w:tcW w:w="27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1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13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271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proofErr w:type="gramStart"/>
            <w:r>
              <w:rPr>
                <w:rFonts w:hint="eastAsia"/>
                <w:color w:val="000000"/>
                <w:sz w:val="18"/>
                <w:szCs w:val="18"/>
              </w:rPr>
              <w:t>潍坊晨创股权</w:t>
            </w:r>
            <w:proofErr w:type="gramEnd"/>
            <w:r>
              <w:rPr>
                <w:rFonts w:hint="eastAsia"/>
                <w:color w:val="000000"/>
                <w:sz w:val="18"/>
                <w:szCs w:val="18"/>
              </w:rPr>
              <w:t>投资基金合伙企业（有限合伙）</w:t>
            </w:r>
          </w:p>
        </w:tc>
        <w:tc>
          <w:tcPr>
            <w:tcW w:w="11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54,000,000.00</w:t>
            </w:r>
          </w:p>
        </w:tc>
        <w:tc>
          <w:tcPr>
            <w:tcW w:w="113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71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建信金融资产投资有限公司</w:t>
            </w:r>
          </w:p>
        </w:tc>
        <w:tc>
          <w:tcPr>
            <w:tcW w:w="11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42,000,000.00</w:t>
            </w:r>
          </w:p>
        </w:tc>
        <w:tc>
          <w:tcPr>
            <w:tcW w:w="113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71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proofErr w:type="gramStart"/>
            <w:r>
              <w:rPr>
                <w:rFonts w:hint="eastAsia"/>
                <w:color w:val="000000"/>
                <w:sz w:val="18"/>
                <w:szCs w:val="18"/>
              </w:rPr>
              <w:t>潍坊晨融新旧</w:t>
            </w:r>
            <w:proofErr w:type="gramEnd"/>
            <w:r>
              <w:rPr>
                <w:rFonts w:hint="eastAsia"/>
                <w:color w:val="000000"/>
                <w:sz w:val="18"/>
                <w:szCs w:val="18"/>
              </w:rPr>
              <w:t>动能转换股权投资基金合伙企业（有限合伙）</w:t>
            </w:r>
          </w:p>
        </w:tc>
        <w:tc>
          <w:tcPr>
            <w:tcW w:w="11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27,000,000.00</w:t>
            </w:r>
          </w:p>
        </w:tc>
        <w:tc>
          <w:tcPr>
            <w:tcW w:w="113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27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1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123,000,000.00</w:t>
            </w:r>
          </w:p>
        </w:tc>
        <w:tc>
          <w:tcPr>
            <w:tcW w:w="113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其他应付款</w:t>
      </w:r>
    </w:p>
    <w:p w:rsidR="00403CD6" w:rsidRDefault="00E91A59">
      <w:pPr>
        <w:keepNext/>
        <w:keepLines/>
        <w:spacing w:before="300" w:after="300" w:line="280" w:lineRule="exact"/>
        <w:outlineLvl w:val="4"/>
        <w:rPr>
          <w:rFonts w:ascii="宋体" w:eastAsia="宋体" w:hAnsi="宋体" w:cs="宋体"/>
          <w:b/>
          <w:bCs/>
          <w:szCs w:val="21"/>
        </w:rPr>
      </w:pPr>
      <w:r>
        <w:rPr>
          <w:rFonts w:ascii="宋体" w:eastAsia="宋体" w:hAnsi="宋体" w:cs="宋体" w:hint="eastAsia"/>
          <w:b/>
          <w:bCs/>
          <w:szCs w:val="21"/>
        </w:rPr>
        <w:t>1） 按款项性质列示其他应付款</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往来款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2,194,650,156.21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1,090,141,993.83</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预提费用</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282,776,392.24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381,781,932.14</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保证金、押金、质保金</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182,034,513.50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785,572,067.82</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股权激励回购义务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63,764,745.74</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50,906,608.68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93,491,387.66</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2,710,367,670.63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2,414,752,127.19</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29、预收款项</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预收款项列示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预收租金</w:t>
            </w:r>
            <w:proofErr w:type="gramStart"/>
            <w:r>
              <w:rPr>
                <w:rFonts w:ascii="Times New Roman" w:hAnsi="Times New Roman" w:cs="Times New Roman"/>
                <w:color w:val="000000"/>
                <w:sz w:val="18"/>
                <w:szCs w:val="18"/>
              </w:rPr>
              <w:t>物业费</w:t>
            </w:r>
            <w:proofErr w:type="gramEnd"/>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54,538,940.24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16,242,921.65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54,538,940.24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16,242,921.65</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30、合同负债</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预收货款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274,829,824.35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1,443,680,155.62</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274,829,824.35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1,443,680,155.62</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31、应付职工薪</w:t>
      </w:r>
      <w:proofErr w:type="gramStart"/>
      <w:r>
        <w:rPr>
          <w:rFonts w:ascii="宋体" w:eastAsia="宋体" w:hAnsi="宋体" w:cs="宋体" w:hint="eastAsia"/>
          <w:b/>
          <w:bCs/>
          <w:szCs w:val="21"/>
        </w:rPr>
        <w:t>酬</w:t>
      </w:r>
      <w:proofErr w:type="gramEnd"/>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应付职工薪</w:t>
      </w:r>
      <w:proofErr w:type="gramStart"/>
      <w:r>
        <w:rPr>
          <w:rFonts w:ascii="宋体" w:eastAsia="宋体" w:hAnsi="宋体" w:cs="宋体" w:hint="eastAsia"/>
          <w:b/>
          <w:bCs/>
          <w:szCs w:val="21"/>
        </w:rPr>
        <w:t>酬</w:t>
      </w:r>
      <w:proofErr w:type="gramEnd"/>
      <w:r>
        <w:rPr>
          <w:rFonts w:ascii="宋体" w:eastAsia="宋体" w:hAnsi="宋体" w:cs="宋体" w:hint="eastAsia"/>
          <w:b/>
          <w:bCs/>
          <w:szCs w:val="21"/>
        </w:rPr>
        <w:t>列示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552"/>
        <w:gridCol w:w="1703"/>
        <w:gridCol w:w="1563"/>
        <w:gridCol w:w="1375"/>
      </w:tblGrid>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8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7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69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一、短期薪酬</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73,907,233.82</w:t>
            </w:r>
          </w:p>
        </w:tc>
        <w:tc>
          <w:tcPr>
            <w:tcW w:w="864"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1,115,270,025.78</w:t>
            </w:r>
          </w:p>
        </w:tc>
        <w:tc>
          <w:tcPr>
            <w:tcW w:w="79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939,413,563.31</w:t>
            </w:r>
          </w:p>
        </w:tc>
        <w:tc>
          <w:tcPr>
            <w:tcW w:w="698"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249,763,696.29</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二、离职后福利</w:t>
            </w:r>
            <w:r>
              <w:rPr>
                <w:rFonts w:ascii="Times New Roman" w:hAnsi="Times New Roman" w:cs="Times New Roman"/>
                <w:color w:val="000000"/>
                <w:sz w:val="18"/>
                <w:szCs w:val="18"/>
              </w:rPr>
              <w:t>-</w:t>
            </w:r>
            <w:r>
              <w:rPr>
                <w:rFonts w:hint="eastAsia"/>
                <w:color w:val="000000"/>
                <w:sz w:val="18"/>
                <w:szCs w:val="18"/>
              </w:rPr>
              <w:t>设定提存计划</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429,924.62</w:t>
            </w:r>
          </w:p>
        </w:tc>
        <w:tc>
          <w:tcPr>
            <w:tcW w:w="864"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203,383,411.91</w:t>
            </w:r>
          </w:p>
        </w:tc>
        <w:tc>
          <w:tcPr>
            <w:tcW w:w="79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202,189,372.82</w:t>
            </w:r>
          </w:p>
        </w:tc>
        <w:tc>
          <w:tcPr>
            <w:tcW w:w="698"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1,623,963.71</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三、辞退福利</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864"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2,723,742.39</w:t>
            </w:r>
          </w:p>
        </w:tc>
        <w:tc>
          <w:tcPr>
            <w:tcW w:w="79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2,723,742.39</w:t>
            </w:r>
          </w:p>
        </w:tc>
        <w:tc>
          <w:tcPr>
            <w:tcW w:w="698"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r>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29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74,337,158.44</w:t>
            </w:r>
          </w:p>
        </w:tc>
        <w:tc>
          <w:tcPr>
            <w:tcW w:w="864"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1,321,377,180.08</w:t>
            </w:r>
          </w:p>
        </w:tc>
        <w:tc>
          <w:tcPr>
            <w:tcW w:w="79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1,144,326,678.52</w:t>
            </w:r>
          </w:p>
        </w:tc>
        <w:tc>
          <w:tcPr>
            <w:tcW w:w="698"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251,387,660.00</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短期薪酬列示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1"/>
        <w:gridCol w:w="1798"/>
        <w:gridCol w:w="1798"/>
        <w:gridCol w:w="1797"/>
        <w:gridCol w:w="1799"/>
      </w:tblGrid>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9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9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9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、工资、奖金、津贴和补贴</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54,425,637.71</w:t>
            </w:r>
          </w:p>
        </w:tc>
        <w:tc>
          <w:tcPr>
            <w:tcW w:w="912"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902,478,029.92</w:t>
            </w:r>
          </w:p>
        </w:tc>
        <w:tc>
          <w:tcPr>
            <w:tcW w:w="912"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730,326,586.08</w:t>
            </w:r>
          </w:p>
        </w:tc>
        <w:tc>
          <w:tcPr>
            <w:tcW w:w="913"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226,577,081.55</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、职工福利费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44,825,885.55</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44,825,885.55</w:t>
            </w:r>
          </w:p>
        </w:tc>
        <w:tc>
          <w:tcPr>
            <w:tcW w:w="913"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、社会保险费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1,399,223.32</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92,517,903.30</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93,360,611.91</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556,514.71</w:t>
            </w:r>
          </w:p>
        </w:tc>
      </w:tr>
      <w:tr w:rsidR="00403CD6">
        <w:trPr>
          <w:trHeight w:val="284"/>
        </w:trPr>
        <w:tc>
          <w:tcPr>
            <w:tcW w:w="1350"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sz w:val="18"/>
                <w:szCs w:val="18"/>
              </w:rPr>
              <w:t>其中：医疗保险费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494,472.68</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82,002,818.75</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81,987,906.18</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509,385.25</w:t>
            </w:r>
          </w:p>
        </w:tc>
      </w:tr>
      <w:tr w:rsidR="00403CD6">
        <w:trPr>
          <w:trHeight w:val="284"/>
        </w:trPr>
        <w:tc>
          <w:tcPr>
            <w:tcW w:w="1350" w:type="pct"/>
            <w:shd w:val="clear" w:color="auto" w:fill="D3D3D3"/>
            <w:vAlign w:val="center"/>
          </w:tcPr>
          <w:p w:rsidR="00403CD6" w:rsidRDefault="00E91A59">
            <w:pPr>
              <w:spacing w:before="40" w:after="40" w:line="240" w:lineRule="exact"/>
              <w:ind w:firstLineChars="500" w:firstLine="900"/>
              <w:rPr>
                <w:rFonts w:ascii="Times New Roman" w:eastAsia="宋体" w:hAnsi="Times New Roman" w:cs="Times New Roman"/>
                <w:sz w:val="18"/>
                <w:szCs w:val="18"/>
              </w:rPr>
            </w:pPr>
            <w:r>
              <w:rPr>
                <w:rFonts w:ascii="Times New Roman" w:eastAsia="宋体" w:hAnsi="Times New Roman" w:cs="Times New Roman"/>
                <w:sz w:val="18"/>
                <w:szCs w:val="18"/>
              </w:rPr>
              <w:t>工伤保险费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15,635.74</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8,898,721.30</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8,903,837.95</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10,519.09</w:t>
            </w:r>
          </w:p>
        </w:tc>
      </w:tr>
      <w:tr w:rsidR="00403CD6">
        <w:trPr>
          <w:trHeight w:val="284"/>
        </w:trPr>
        <w:tc>
          <w:tcPr>
            <w:tcW w:w="1350" w:type="pct"/>
            <w:shd w:val="clear" w:color="auto" w:fill="D3D3D3"/>
            <w:vAlign w:val="center"/>
          </w:tcPr>
          <w:p w:rsidR="00403CD6" w:rsidRDefault="00E91A59">
            <w:pPr>
              <w:spacing w:before="40" w:after="40" w:line="240" w:lineRule="exact"/>
              <w:ind w:firstLineChars="500" w:firstLine="900"/>
              <w:rPr>
                <w:rFonts w:ascii="Times New Roman" w:eastAsia="宋体" w:hAnsi="Times New Roman" w:cs="Times New Roman"/>
                <w:sz w:val="18"/>
                <w:szCs w:val="18"/>
              </w:rPr>
            </w:pPr>
            <w:r>
              <w:rPr>
                <w:rFonts w:ascii="Times New Roman" w:eastAsia="宋体" w:hAnsi="Times New Roman" w:cs="Times New Roman"/>
                <w:sz w:val="18"/>
                <w:szCs w:val="18"/>
              </w:rPr>
              <w:t>生育保险费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889,114.90</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1,616,363.25</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2,468,867.78</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36,610.37</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4</w:t>
            </w:r>
            <w:r>
              <w:rPr>
                <w:rFonts w:ascii="Times New Roman" w:eastAsia="宋体" w:hAnsi="Times New Roman" w:cs="Times New Roman"/>
                <w:sz w:val="18"/>
                <w:szCs w:val="18"/>
              </w:rPr>
              <w:t>、住房公积金</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6,932,114.30</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65,262,274.21</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61,060,892.04</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11,133,496.47</w:t>
            </w:r>
          </w:p>
        </w:tc>
      </w:tr>
      <w:tr w:rsidR="00403CD6">
        <w:trPr>
          <w:trHeight w:val="284"/>
        </w:trPr>
        <w:tc>
          <w:tcPr>
            <w:tcW w:w="13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5</w:t>
            </w:r>
            <w:r>
              <w:rPr>
                <w:rFonts w:ascii="Times New Roman" w:eastAsia="宋体" w:hAnsi="Times New Roman" w:cs="Times New Roman"/>
                <w:sz w:val="18"/>
                <w:szCs w:val="18"/>
              </w:rPr>
              <w:t>、工会经费和职工教育经费</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7,813,758.78</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8,869,633.29</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6,331,051.46</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10,352,340.61</w:t>
            </w:r>
          </w:p>
        </w:tc>
      </w:tr>
      <w:tr w:rsidR="00403CD6">
        <w:trPr>
          <w:trHeight w:val="284"/>
        </w:trPr>
        <w:tc>
          <w:tcPr>
            <w:tcW w:w="1350" w:type="pct"/>
            <w:shd w:val="clear" w:color="auto" w:fill="D3D3D3"/>
            <w:vAlign w:val="center"/>
          </w:tcPr>
          <w:p w:rsidR="00403CD6" w:rsidRDefault="00E91A59">
            <w:pPr>
              <w:widowControl/>
              <w:rPr>
                <w:rFonts w:ascii="Times New Roman" w:hAnsi="Times New Roman" w:cs="Times New Roman"/>
                <w:color w:val="000000"/>
                <w:sz w:val="18"/>
                <w:szCs w:val="18"/>
              </w:rPr>
            </w:pPr>
            <w:r>
              <w:rPr>
                <w:rFonts w:ascii="Times New Roman" w:hAnsi="Times New Roman" w:cs="Times New Roman"/>
                <w:color w:val="000000"/>
                <w:sz w:val="18"/>
                <w:szCs w:val="18"/>
              </w:rPr>
              <w:t>6</w:t>
            </w:r>
            <w:r>
              <w:rPr>
                <w:rFonts w:cs="Times New Roman" w:hint="eastAsia"/>
                <w:color w:val="000000"/>
                <w:sz w:val="18"/>
                <w:szCs w:val="18"/>
              </w:rPr>
              <w:t>、其他短期薪酬</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3,336,499.71</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1,316,299.51</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3,508,536.27</w:t>
            </w:r>
          </w:p>
        </w:tc>
        <w:tc>
          <w:tcPr>
            <w:tcW w:w="9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1,144,262.95</w:t>
            </w:r>
          </w:p>
        </w:tc>
      </w:tr>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91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73,907,233.82</w:t>
            </w:r>
          </w:p>
        </w:tc>
        <w:tc>
          <w:tcPr>
            <w:tcW w:w="912"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1,115,270,025.78</w:t>
            </w:r>
          </w:p>
        </w:tc>
        <w:tc>
          <w:tcPr>
            <w:tcW w:w="912"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939,413,563.31</w:t>
            </w:r>
          </w:p>
        </w:tc>
        <w:tc>
          <w:tcPr>
            <w:tcW w:w="913" w:type="pct"/>
            <w:vAlign w:val="center"/>
          </w:tcPr>
          <w:p w:rsidR="00403CD6" w:rsidRPr="004E1CA6" w:rsidRDefault="00012CDC">
            <w:pPr>
              <w:spacing w:before="100" w:beforeAutospacing="1" w:after="100" w:afterAutospacing="1" w:line="240" w:lineRule="exact"/>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249,763,696.29</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设定提存计划列示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、基本养老保险</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415,282.27</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195,084,561.53</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194,235,970.48</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1,263,873.32</w:t>
            </w:r>
          </w:p>
        </w:tc>
      </w:tr>
      <w:tr w:rsidR="00403CD6">
        <w:trPr>
          <w:trHeight w:val="284"/>
        </w:trPr>
        <w:tc>
          <w:tcPr>
            <w:tcW w:w="10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、失业保险费</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14,642.35</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8,298,850.38</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7,953,402.34</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360,090.39</w:t>
            </w:r>
          </w:p>
        </w:tc>
      </w:tr>
      <w:tr w:rsidR="00403CD6">
        <w:trPr>
          <w:trHeight w:val="284"/>
        </w:trPr>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429,924.62</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203,383,411.91</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202,189,372.82</w:t>
            </w:r>
          </w:p>
        </w:tc>
        <w:tc>
          <w:tcPr>
            <w:tcW w:w="10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1,623,963.71</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32、应交税费</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增值税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86,589,345.15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40,076,417.59</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房产税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44,930,390.41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15,486,094.67</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土地使用税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19,563,508.13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11,149,858.80</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lastRenderedPageBreak/>
              <w:t>印花税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11,784,134.43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10,875,401.17</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企业所得税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6,750,896.17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6,720,397.49</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资源税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5,839,230.84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城市维护建设税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5,779,995.16</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2,396,420.76</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教育费附加及其他</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4,599,189.85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2,062,463.52</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环境保护税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3,282,700.03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3,698,248.00</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个人所得税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2,280,921.30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2,184,712.31</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土地增值税</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2,024,028.20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2,059,693.25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193,424,339.67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99,709,707.56</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33、一年内到期的非流动负债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一年内到期的长期借款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1,207,756,283.94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1,273,902,656.06</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一年内到期的长期应付款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367,723,693.41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2,354,342,454.51</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一年内到期的租赁负债</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2,456,986.79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3,692,567.25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1,577,936,964.14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3,631,937,677.82</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34、其他流动负债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逾期融资租赁借款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2,680,562,600.58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短期融资租赁借款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2,680,562,600.58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35、长期借款</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长期借款分类</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抵押借款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3,669,467,809.18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4,262,800,469.08</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bookmarkStart w:id="94" w:name="_Hlk192777400"/>
            <w:r>
              <w:rPr>
                <w:rFonts w:hint="eastAsia"/>
                <w:color w:val="000000"/>
                <w:sz w:val="18"/>
                <w:szCs w:val="18"/>
              </w:rPr>
              <w:t>信用借款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1,221,043,391.30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834,545,402.88</w:t>
            </w:r>
          </w:p>
        </w:tc>
      </w:tr>
      <w:bookmarkEnd w:id="94"/>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保证借款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1,080,907,277.70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857,571,273.74</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小计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5,971,418,478.18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5,954,917,145.70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减：一年内到期的长期借款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1,207,756,283.94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1,273,902,656.06</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4,763,662,194.24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4,681,014,489.64</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长期借款分类的说明：</w:t>
      </w:r>
    </w:p>
    <w:p w:rsidR="00403CD6" w:rsidRDefault="00E91A59">
      <w:pPr>
        <w:spacing w:before="100" w:after="100" w:line="240" w:lineRule="exact"/>
        <w:rPr>
          <w:rFonts w:ascii="Times New Roman" w:eastAsia="宋体" w:hAnsi="Times New Roman" w:cs="Times New Roman"/>
          <w:sz w:val="18"/>
          <w:szCs w:val="18"/>
        </w:rPr>
      </w:pPr>
      <w:r>
        <w:rPr>
          <w:rFonts w:ascii="宋体" w:eastAsia="宋体" w:hAnsi="宋体" w:cs="宋体" w:hint="eastAsia"/>
          <w:sz w:val="18"/>
          <w:szCs w:val="18"/>
        </w:rPr>
        <w:t>①</w:t>
      </w:r>
      <w:r>
        <w:rPr>
          <w:rFonts w:ascii="Times New Roman" w:eastAsia="宋体" w:hAnsi="Times New Roman" w:cs="Times New Roman"/>
          <w:sz w:val="18"/>
          <w:szCs w:val="18"/>
        </w:rPr>
        <w:t>抵押借款的抵押资产类别以及金额，参见附注七、</w:t>
      </w:r>
      <w:r>
        <w:rPr>
          <w:rFonts w:ascii="Times New Roman" w:eastAsia="宋体" w:hAnsi="Times New Roman" w:cs="Times New Roman"/>
          <w:sz w:val="18"/>
          <w:szCs w:val="18"/>
        </w:rPr>
        <w:t>1</w:t>
      </w:r>
      <w:r>
        <w:rPr>
          <w:rFonts w:ascii="Times New Roman" w:eastAsia="宋体" w:hAnsi="Times New Roman" w:cs="Times New Roman"/>
          <w:sz w:val="18"/>
          <w:szCs w:val="18"/>
        </w:rPr>
        <w:t>货币资金及七、</w:t>
      </w:r>
      <w:r>
        <w:rPr>
          <w:rFonts w:ascii="Times New Roman" w:eastAsia="宋体" w:hAnsi="Times New Roman" w:cs="Times New Roman"/>
          <w:sz w:val="18"/>
          <w:szCs w:val="18"/>
        </w:rPr>
        <w:t>24</w:t>
      </w:r>
      <w:r>
        <w:rPr>
          <w:rFonts w:ascii="Times New Roman" w:eastAsia="宋体" w:hAnsi="Times New Roman" w:cs="Times New Roman"/>
          <w:sz w:val="18"/>
          <w:szCs w:val="18"/>
        </w:rPr>
        <w:t>所有权或使用权受限制的资产。</w:t>
      </w:r>
    </w:p>
    <w:p w:rsidR="00403CD6" w:rsidRDefault="00E91A59">
      <w:pPr>
        <w:spacing w:before="100" w:after="100" w:line="240" w:lineRule="exact"/>
        <w:rPr>
          <w:rFonts w:ascii="Times New Roman" w:eastAsia="宋体" w:hAnsi="Times New Roman" w:cs="Times New Roman"/>
          <w:sz w:val="18"/>
          <w:szCs w:val="18"/>
        </w:rPr>
      </w:pPr>
      <w:r>
        <w:rPr>
          <w:rFonts w:ascii="宋体" w:eastAsia="宋体" w:hAnsi="宋体" w:cs="宋体" w:hint="eastAsia"/>
          <w:sz w:val="18"/>
          <w:szCs w:val="18"/>
        </w:rPr>
        <w:t>②</w:t>
      </w:r>
      <w:r>
        <w:rPr>
          <w:rFonts w:ascii="Times New Roman" w:eastAsia="宋体" w:hAnsi="Times New Roman" w:cs="Times New Roman"/>
          <w:sz w:val="18"/>
          <w:szCs w:val="18"/>
        </w:rPr>
        <w:t>根据</w:t>
      </w:r>
      <w:r>
        <w:rPr>
          <w:rFonts w:ascii="Times New Roman" w:eastAsia="宋体" w:hAnsi="Times New Roman" w:cs="Times New Roman" w:hint="eastAsia"/>
          <w:sz w:val="18"/>
          <w:szCs w:val="18"/>
        </w:rPr>
        <w:t>《企业会计准则解释第</w:t>
      </w:r>
      <w:r>
        <w:rPr>
          <w:rFonts w:ascii="Times New Roman" w:eastAsia="宋体" w:hAnsi="Times New Roman" w:cs="Times New Roman"/>
          <w:sz w:val="18"/>
          <w:szCs w:val="18"/>
        </w:rPr>
        <w:t>17</w:t>
      </w:r>
      <w:r>
        <w:rPr>
          <w:rFonts w:ascii="Times New Roman" w:eastAsia="宋体" w:hAnsi="Times New Roman" w:cs="Times New Roman"/>
          <w:sz w:val="18"/>
          <w:szCs w:val="18"/>
        </w:rPr>
        <w:t>号》，本公司对存在逾期情形的长期借款及原列报为一年内到期的非流动负债进行重分类。借款合同规定当企业存在借款逾期的情况，债权人要求借款人立即归还全部借款金额。因上述债务已触发合同约定的违约条款，且于资产负债表日未与债权人达成展期协议，基于流动性风险特征及偿付义务的即时性，本公司将其账面</w:t>
      </w:r>
      <w:r>
        <w:rPr>
          <w:rFonts w:ascii="Times New Roman" w:eastAsia="宋体" w:hAnsi="Times New Roman" w:cs="Times New Roman"/>
          <w:sz w:val="18"/>
          <w:szCs w:val="18"/>
        </w:rPr>
        <w:lastRenderedPageBreak/>
        <w:t>余额全额调整至</w:t>
      </w:r>
      <w:r>
        <w:rPr>
          <w:rFonts w:ascii="Times New Roman" w:eastAsia="宋体" w:hAnsi="Times New Roman" w:cs="Times New Roman"/>
          <w:sz w:val="18"/>
          <w:szCs w:val="18"/>
        </w:rPr>
        <w:t>“</w:t>
      </w:r>
      <w:r>
        <w:rPr>
          <w:rFonts w:ascii="Times New Roman" w:eastAsia="宋体" w:hAnsi="Times New Roman" w:cs="Times New Roman"/>
          <w:sz w:val="18"/>
          <w:szCs w:val="18"/>
        </w:rPr>
        <w:t>短期借款</w:t>
      </w:r>
      <w:r>
        <w:rPr>
          <w:rFonts w:ascii="Times New Roman" w:eastAsia="宋体" w:hAnsi="Times New Roman" w:cs="Times New Roman"/>
          <w:sz w:val="18"/>
          <w:szCs w:val="18"/>
        </w:rPr>
        <w:t>”</w:t>
      </w:r>
      <w:r>
        <w:rPr>
          <w:rFonts w:ascii="Times New Roman" w:eastAsia="宋体" w:hAnsi="Times New Roman" w:cs="Times New Roman"/>
          <w:sz w:val="18"/>
          <w:szCs w:val="18"/>
        </w:rPr>
        <w:t>科目列示。</w:t>
      </w:r>
    </w:p>
    <w:p w:rsidR="00403CD6" w:rsidRDefault="00E91A59">
      <w:pPr>
        <w:spacing w:before="100" w:after="100" w:line="240" w:lineRule="exact"/>
        <w:rPr>
          <w:rFonts w:ascii="Times New Roman" w:eastAsia="宋体" w:hAnsi="Times New Roman" w:cs="Times New Roman"/>
          <w:sz w:val="18"/>
          <w:szCs w:val="18"/>
        </w:rPr>
      </w:pPr>
      <w:r>
        <w:rPr>
          <w:rFonts w:ascii="宋体" w:eastAsia="宋体" w:hAnsi="宋体" w:cs="宋体" w:hint="eastAsia"/>
          <w:sz w:val="18"/>
          <w:szCs w:val="18"/>
        </w:rPr>
        <w:t>③</w:t>
      </w:r>
      <w:r>
        <w:rPr>
          <w:rFonts w:ascii="Times New Roman" w:eastAsia="宋体" w:hAnsi="Times New Roman" w:cs="Times New Roman"/>
          <w:sz w:val="18"/>
          <w:szCs w:val="18"/>
        </w:rPr>
        <w:t>抵押借款中</w:t>
      </w:r>
      <w:r>
        <w:rPr>
          <w:rFonts w:ascii="Times New Roman" w:eastAsia="宋体" w:hAnsi="Times New Roman" w:cs="Times New Roman"/>
          <w:sz w:val="18"/>
          <w:szCs w:val="18"/>
        </w:rPr>
        <w:t>3,160,106,586.05</w:t>
      </w:r>
      <w:r>
        <w:rPr>
          <w:rFonts w:ascii="Times New Roman" w:eastAsia="宋体" w:hAnsi="Times New Roman" w:cs="Times New Roman"/>
          <w:sz w:val="18"/>
          <w:szCs w:val="18"/>
        </w:rPr>
        <w:t>元，同时由关联方提供了担保。</w:t>
      </w:r>
    </w:p>
    <w:p w:rsidR="00403CD6" w:rsidRDefault="00E91A59">
      <w:pPr>
        <w:spacing w:before="100" w:after="100" w:line="240" w:lineRule="exact"/>
        <w:rPr>
          <w:rFonts w:ascii="Times New Roman" w:eastAsia="宋体" w:hAnsi="Times New Roman" w:cs="Times New Roman"/>
          <w:sz w:val="18"/>
          <w:szCs w:val="18"/>
        </w:rPr>
      </w:pPr>
      <w:r>
        <w:rPr>
          <w:rFonts w:asciiTheme="minorEastAsia" w:hAnsiTheme="minorEastAsia" w:hint="eastAsia"/>
          <w:sz w:val="18"/>
          <w:szCs w:val="18"/>
        </w:rPr>
        <w:t>④长期借款中含应计利</w:t>
      </w:r>
      <w:r>
        <w:rPr>
          <w:rFonts w:ascii="Times New Roman" w:hAnsi="Times New Roman" w:cs="Times New Roman"/>
          <w:sz w:val="18"/>
          <w:szCs w:val="18"/>
        </w:rPr>
        <w:t>息</w:t>
      </w:r>
      <w:r>
        <w:rPr>
          <w:rFonts w:ascii="Times New Roman" w:hAnsi="Times New Roman" w:cs="Times New Roman"/>
          <w:sz w:val="18"/>
          <w:szCs w:val="18"/>
        </w:rPr>
        <w:t>1,777,044.45</w:t>
      </w:r>
      <w:r>
        <w:rPr>
          <w:rFonts w:asciiTheme="minorEastAsia" w:hAnsiTheme="minorEastAsia" w:hint="eastAsia"/>
          <w:sz w:val="18"/>
          <w:szCs w:val="18"/>
        </w:rPr>
        <w:t>元。</w:t>
      </w:r>
    </w:p>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36、租赁负债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应付租赁款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52,866,869.42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64,264,374.68</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减：未确认融资费用</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13,317,409.57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18,584,784.58</w:t>
            </w:r>
          </w:p>
        </w:tc>
      </w:tr>
      <w:tr w:rsidR="00403CD6">
        <w:trPr>
          <w:trHeight w:val="284"/>
        </w:trPr>
        <w:tc>
          <w:tcPr>
            <w:tcW w:w="1667" w:type="pct"/>
            <w:vAlign w:val="center"/>
          </w:tcPr>
          <w:p w:rsidR="00403CD6" w:rsidRDefault="00E91A59">
            <w:pPr>
              <w:spacing w:line="240" w:lineRule="exact"/>
              <w:jc w:val="center"/>
              <w:rPr>
                <w:rFonts w:ascii="Times New Roman" w:eastAsia="宋体" w:hAnsi="Times New Roman" w:cs="Times New Roman"/>
                <w:sz w:val="18"/>
                <w:szCs w:val="18"/>
              </w:rPr>
            </w:pPr>
            <w:r>
              <w:rPr>
                <w:rFonts w:hint="eastAsia"/>
                <w:color w:val="000000"/>
                <w:sz w:val="18"/>
                <w:szCs w:val="18"/>
              </w:rPr>
              <w:t>小计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39,549,459.85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45,679,590.10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减：一年内到期的租赁负债</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2,456,986.79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3,692,567.25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37,092,473.06</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41,987,022.85</w:t>
            </w:r>
          </w:p>
        </w:tc>
      </w:tr>
    </w:tbl>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37、长期应付款</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长期应付款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774,965,008.29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2,541,095,217.66</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774,965,008.29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2,541,095,217.66</w:t>
            </w:r>
          </w:p>
        </w:tc>
      </w:tr>
    </w:tbl>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说明：根据</w:t>
      </w:r>
      <w:r>
        <w:rPr>
          <w:rFonts w:ascii="Times New Roman" w:eastAsia="宋体" w:hAnsi="Times New Roman" w:cs="Times New Roman" w:hint="eastAsia"/>
          <w:sz w:val="18"/>
          <w:szCs w:val="18"/>
        </w:rPr>
        <w:t>《企业会计准则解释第</w:t>
      </w:r>
      <w:r>
        <w:rPr>
          <w:rFonts w:ascii="Times New Roman" w:eastAsia="宋体" w:hAnsi="Times New Roman" w:cs="Times New Roman"/>
          <w:sz w:val="18"/>
          <w:szCs w:val="18"/>
        </w:rPr>
        <w:t>17</w:t>
      </w:r>
      <w:r>
        <w:rPr>
          <w:rFonts w:ascii="Times New Roman" w:eastAsia="宋体" w:hAnsi="Times New Roman" w:cs="Times New Roman"/>
          <w:sz w:val="18"/>
          <w:szCs w:val="18"/>
        </w:rPr>
        <w:t>号》</w:t>
      </w:r>
      <w:r>
        <w:rPr>
          <w:rFonts w:ascii="宋体" w:eastAsia="宋体" w:hAnsi="宋体" w:cs="宋体" w:hint="eastAsia"/>
          <w:color w:val="000000"/>
          <w:kern w:val="0"/>
          <w:sz w:val="18"/>
          <w:szCs w:val="18"/>
        </w:rPr>
        <w:t>，本公司对存在逾期情形的长期应付款及原列报为一年内到期的非流动负债进行重分类。借款合同规定当企业存在借款逾期的情况，债权人要求借款人立即归还全部借款金额。因上述债务已触发合同约定的违约条款，且于资产负债表日未与债权人达成展期协议，基于流动性风险特征及偿付义务的即时性，本公司将其账面余额全额调整至“其他流动负债”科目列示。</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按款项性质列示长期应付款</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融资租赁借款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3,600,767,587.75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4,345,793,513.95</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国开专项金</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275,000,000.00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343,750,000.00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其他合伙人出资</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137,894,158.22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199,894,158.22</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融资租赁业务保证金</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w:t>
            </w:r>
          </w:p>
        </w:tc>
      </w:tr>
      <w:tr w:rsidR="00403CD6">
        <w:trPr>
          <w:trHeight w:val="284"/>
        </w:trPr>
        <w:tc>
          <w:tcPr>
            <w:tcW w:w="1667" w:type="pct"/>
            <w:vAlign w:val="center"/>
          </w:tcPr>
          <w:p w:rsidR="00403CD6" w:rsidRDefault="00E91A59">
            <w:pPr>
              <w:spacing w:line="240" w:lineRule="exact"/>
              <w:jc w:val="center"/>
              <w:rPr>
                <w:rFonts w:ascii="Times New Roman" w:eastAsia="宋体" w:hAnsi="Times New Roman" w:cs="Times New Roman"/>
                <w:sz w:val="18"/>
                <w:szCs w:val="18"/>
              </w:rPr>
            </w:pPr>
            <w:r>
              <w:rPr>
                <w:rFonts w:hint="eastAsia"/>
                <w:color w:val="000000"/>
                <w:sz w:val="18"/>
                <w:szCs w:val="18"/>
              </w:rPr>
              <w:t>小计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4,019,661,745.97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4,895,437,672.17</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减：其他流动负债</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2,876,973,044.27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减：一年内到期长期应付款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367,723,693.41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2,354,342,454.51</w:t>
            </w:r>
          </w:p>
        </w:tc>
      </w:tr>
      <w:tr w:rsidR="00403CD6">
        <w:trPr>
          <w:trHeight w:val="284"/>
        </w:trPr>
        <w:tc>
          <w:tcPr>
            <w:tcW w:w="1667" w:type="pct"/>
            <w:vAlign w:val="center"/>
          </w:tcPr>
          <w:p w:rsidR="00403CD6" w:rsidRDefault="00E91A59">
            <w:pPr>
              <w:spacing w:line="240" w:lineRule="exact"/>
              <w:jc w:val="center"/>
              <w:rPr>
                <w:rFonts w:ascii="Times New Roman" w:eastAsia="宋体" w:hAnsi="Times New Roman" w:cs="Times New Roman"/>
                <w:sz w:val="18"/>
                <w:szCs w:val="18"/>
              </w:rPr>
            </w:pPr>
            <w:r>
              <w:rPr>
                <w:rFonts w:hint="eastAsia"/>
                <w:color w:val="000000"/>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774,965,008.29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2,541,095,217.66</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其他说明：</w:t>
      </w:r>
    </w:p>
    <w:p w:rsidR="00403CD6" w:rsidRDefault="00E91A59">
      <w:pPr>
        <w:rPr>
          <w:sz w:val="18"/>
          <w:szCs w:val="18"/>
        </w:rPr>
      </w:pPr>
      <w:r>
        <w:rPr>
          <w:rFonts w:hint="eastAsia"/>
          <w:sz w:val="18"/>
          <w:szCs w:val="18"/>
        </w:rPr>
        <w:t>其他合伙人出资为本公司之特殊结构主体潍坊晨鸣新旧动能转换股权投资基金合伙企业（有限合伙）和</w:t>
      </w:r>
      <w:proofErr w:type="gramStart"/>
      <w:r>
        <w:rPr>
          <w:rFonts w:hint="eastAsia"/>
          <w:sz w:val="18"/>
          <w:szCs w:val="18"/>
        </w:rPr>
        <w:t>潍坊晨都股权</w:t>
      </w:r>
      <w:proofErr w:type="gramEnd"/>
      <w:r>
        <w:rPr>
          <w:rFonts w:hint="eastAsia"/>
          <w:sz w:val="18"/>
          <w:szCs w:val="18"/>
        </w:rPr>
        <w:t>投资合伙企业（有限合伙）收到的其他合伙人的出资在合并层面重分类为金融负债。</w:t>
      </w:r>
    </w:p>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38、预计负债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2463"/>
        <w:gridCol w:w="2463"/>
        <w:gridCol w:w="2463"/>
      </w:tblGrid>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形成原因</w:t>
            </w:r>
          </w:p>
        </w:tc>
      </w:tr>
      <w:tr w:rsidR="00403CD6">
        <w:trPr>
          <w:trHeight w:val="284"/>
        </w:trPr>
        <w:tc>
          <w:tcPr>
            <w:tcW w:w="125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未决诉讼</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5,935,000.00</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预计赔偿损失</w:t>
            </w:r>
          </w:p>
        </w:tc>
      </w:tr>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5,935,000.00</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250" w:type="pct"/>
            <w:shd w:val="clear" w:color="auto" w:fill="D3D3D3"/>
            <w:vAlign w:val="center"/>
          </w:tcPr>
          <w:p w:rsidR="00403CD6" w:rsidRDefault="00E91A59">
            <w:pPr>
              <w:rPr>
                <w:rFonts w:ascii="Times New Roman" w:hAnsi="Times New Roman" w:cs="Times New Roman"/>
              </w:rPr>
            </w:pPr>
            <w:r>
              <w:rPr>
                <w:rFonts w:ascii="Times New Roman" w:hAnsi="Times New Roman" w:cs="Times New Roman"/>
                <w:color w:val="000000"/>
                <w:szCs w:val="21"/>
              </w:rPr>
              <w:t xml:space="preserve">　</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其他说明：</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公司涉及多项法律诉讼，按照可能赔偿的损失计提预计负债合计</w:t>
      </w:r>
      <w:r>
        <w:rPr>
          <w:rFonts w:ascii="Times New Roman" w:hAnsi="Times New Roman" w:cs="Times New Roman"/>
          <w:color w:val="000000"/>
          <w:sz w:val="18"/>
          <w:szCs w:val="18"/>
        </w:rPr>
        <w:t>5,935,000.00</w:t>
      </w:r>
      <w:r>
        <w:rPr>
          <w:rFonts w:ascii="宋体" w:eastAsia="宋体" w:hAnsi="宋体" w:cs="宋体" w:hint="eastAsia"/>
          <w:sz w:val="18"/>
          <w:szCs w:val="18"/>
        </w:rPr>
        <w:t>元。</w:t>
      </w:r>
    </w:p>
    <w:p w:rsidR="00403CD6" w:rsidRDefault="00E91A59">
      <w:pPr>
        <w:pStyle w:val="30"/>
        <w:spacing w:line="280" w:lineRule="exact"/>
        <w:jc w:val="left"/>
        <w:rPr>
          <w:rFonts w:ascii="宋体" w:hAnsi="宋体" w:cs="宋体"/>
          <w:b w:val="0"/>
          <w:bCs w:val="0"/>
          <w:sz w:val="21"/>
        </w:rPr>
      </w:pPr>
      <w:r>
        <w:rPr>
          <w:rFonts w:ascii="宋体" w:hAnsi="宋体" w:cs="宋体" w:hint="eastAsia"/>
          <w:sz w:val="21"/>
        </w:rPr>
        <w:t>39、递延收益</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2268"/>
        <w:gridCol w:w="1277"/>
        <w:gridCol w:w="1419"/>
        <w:gridCol w:w="1559"/>
        <w:gridCol w:w="954"/>
      </w:tblGrid>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1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7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48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形成原因</w:t>
            </w:r>
          </w:p>
        </w:tc>
      </w:tr>
      <w:tr w:rsidR="00403CD6">
        <w:trPr>
          <w:trHeight w:val="284"/>
        </w:trPr>
        <w:tc>
          <w:tcPr>
            <w:tcW w:w="1206"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政府补助</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1,337,864,114.70</w:t>
            </w:r>
          </w:p>
        </w:tc>
        <w:tc>
          <w:tcPr>
            <w:tcW w:w="64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7,770,000.00</w:t>
            </w:r>
          </w:p>
        </w:tc>
        <w:tc>
          <w:tcPr>
            <w:tcW w:w="720"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104,694,629.18</w:t>
            </w:r>
          </w:p>
        </w:tc>
        <w:tc>
          <w:tcPr>
            <w:tcW w:w="79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1,240,939,485.52</w:t>
            </w:r>
          </w:p>
        </w:tc>
        <w:tc>
          <w:tcPr>
            <w:tcW w:w="48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财政拨款</w:t>
            </w:r>
          </w:p>
        </w:tc>
      </w:tr>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15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1,337,864,114.70</w:t>
            </w:r>
          </w:p>
        </w:tc>
        <w:tc>
          <w:tcPr>
            <w:tcW w:w="64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7,770,000.00</w:t>
            </w:r>
          </w:p>
        </w:tc>
        <w:tc>
          <w:tcPr>
            <w:tcW w:w="720"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104,694,629.18</w:t>
            </w:r>
          </w:p>
        </w:tc>
        <w:tc>
          <w:tcPr>
            <w:tcW w:w="791"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1,240,939,485.52</w:t>
            </w:r>
          </w:p>
        </w:tc>
        <w:tc>
          <w:tcPr>
            <w:tcW w:w="48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w:t>
            </w:r>
          </w:p>
        </w:tc>
      </w:tr>
    </w:tbl>
    <w:p w:rsidR="00403CD6" w:rsidRDefault="00E91A59">
      <w:pPr>
        <w:spacing w:before="100" w:after="100" w:line="240" w:lineRule="exact"/>
        <w:rPr>
          <w:rFonts w:ascii="Times New Roman" w:hAnsi="Times New Roman" w:cs="Times New Roman"/>
          <w:sz w:val="18"/>
          <w:szCs w:val="18"/>
        </w:rPr>
      </w:pPr>
      <w:r>
        <w:rPr>
          <w:rFonts w:ascii="Times New Roman" w:hAnsi="Times New Roman" w:cs="Times New Roman"/>
          <w:sz w:val="18"/>
          <w:szCs w:val="18"/>
        </w:rPr>
        <w:t>涉及政府补助的项目：</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1"/>
        <w:gridCol w:w="1478"/>
        <w:gridCol w:w="769"/>
        <w:gridCol w:w="1019"/>
        <w:gridCol w:w="1277"/>
        <w:gridCol w:w="851"/>
        <w:gridCol w:w="709"/>
        <w:gridCol w:w="991"/>
        <w:gridCol w:w="1238"/>
      </w:tblGrid>
      <w:tr w:rsidR="00403CD6">
        <w:trPr>
          <w:trHeight w:val="240"/>
        </w:trPr>
        <w:tc>
          <w:tcPr>
            <w:tcW w:w="772"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负债项目</w:t>
            </w:r>
          </w:p>
        </w:tc>
        <w:tc>
          <w:tcPr>
            <w:tcW w:w="75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期初余额</w:t>
            </w:r>
          </w:p>
        </w:tc>
        <w:tc>
          <w:tcPr>
            <w:tcW w:w="39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本期新增补助金额</w:t>
            </w:r>
          </w:p>
        </w:tc>
        <w:tc>
          <w:tcPr>
            <w:tcW w:w="517"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本期计入营业外收入金额</w:t>
            </w:r>
          </w:p>
        </w:tc>
        <w:tc>
          <w:tcPr>
            <w:tcW w:w="648"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本期计入其他收益金额</w:t>
            </w:r>
          </w:p>
        </w:tc>
        <w:tc>
          <w:tcPr>
            <w:tcW w:w="432"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本期冲减成本费用金额</w:t>
            </w:r>
          </w:p>
        </w:tc>
        <w:tc>
          <w:tcPr>
            <w:tcW w:w="36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其他变动</w:t>
            </w:r>
          </w:p>
        </w:tc>
        <w:tc>
          <w:tcPr>
            <w:tcW w:w="503"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期末余额</w:t>
            </w:r>
          </w:p>
        </w:tc>
        <w:tc>
          <w:tcPr>
            <w:tcW w:w="628"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与资产相关</w:t>
            </w:r>
            <w:r>
              <w:rPr>
                <w:rFonts w:ascii="Times New Roman" w:hAnsi="Times New Roman" w:cs="Times New Roman"/>
                <w:sz w:val="18"/>
                <w:szCs w:val="18"/>
              </w:rPr>
              <w:t>/</w:t>
            </w:r>
            <w:r>
              <w:rPr>
                <w:rFonts w:ascii="Times New Roman" w:hAnsi="Times New Roman" w:cs="Times New Roman"/>
                <w:sz w:val="18"/>
                <w:szCs w:val="18"/>
              </w:rPr>
              <w:t>与收益相关</w:t>
            </w:r>
          </w:p>
        </w:tc>
      </w:tr>
      <w:tr w:rsidR="00403CD6">
        <w:trPr>
          <w:trHeight w:val="240"/>
        </w:trPr>
        <w:tc>
          <w:tcPr>
            <w:tcW w:w="772" w:type="pct"/>
            <w:vAlign w:val="center"/>
          </w:tcPr>
          <w:p w:rsidR="00403CD6" w:rsidRDefault="00E91A59">
            <w:pPr>
              <w:jc w:val="both"/>
              <w:rPr>
                <w:color w:val="000000"/>
                <w:sz w:val="18"/>
                <w:szCs w:val="18"/>
              </w:rPr>
            </w:pPr>
            <w:r>
              <w:rPr>
                <w:rFonts w:hint="eastAsia"/>
                <w:color w:val="000000"/>
                <w:sz w:val="18"/>
                <w:szCs w:val="18"/>
              </w:rPr>
              <w:t>环境保护资金补助</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524,694,035.24</w:t>
            </w:r>
          </w:p>
        </w:tc>
        <w:tc>
          <w:tcPr>
            <w:tcW w:w="390" w:type="pct"/>
            <w:vAlign w:val="center"/>
          </w:tcPr>
          <w:p w:rsidR="00403CD6" w:rsidRDefault="00E91A59">
            <w:pPr>
              <w:jc w:val="right"/>
              <w:rPr>
                <w:color w:val="000000"/>
                <w:sz w:val="18"/>
                <w:szCs w:val="18"/>
              </w:rPr>
            </w:pPr>
            <w:r>
              <w:rPr>
                <w:rFonts w:ascii="Times New Roman" w:hAnsi="Times New Roman" w:cs="Times New Roman"/>
                <w:color w:val="000000"/>
                <w:sz w:val="18"/>
                <w:szCs w:val="18"/>
              </w:rPr>
              <w:t>4,500,000.00</w:t>
            </w: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50,778,082.72</w:t>
            </w:r>
          </w:p>
        </w:tc>
        <w:tc>
          <w:tcPr>
            <w:tcW w:w="432" w:type="pct"/>
            <w:vAlign w:val="center"/>
          </w:tcPr>
          <w:p w:rsidR="00403CD6" w:rsidRDefault="00E91A59">
            <w:pPr>
              <w:jc w:val="right"/>
              <w:rPr>
                <w:color w:val="000000"/>
                <w:sz w:val="18"/>
                <w:szCs w:val="18"/>
              </w:rPr>
            </w:pPr>
            <w:r>
              <w:rPr>
                <w:rFonts w:ascii="Calibri" w:hAnsi="Calibri"/>
                <w:color w:val="000000"/>
                <w:sz w:val="18"/>
                <w:szCs w:val="18"/>
              </w:rPr>
              <w:t xml:space="preserve">　</w:t>
            </w:r>
          </w:p>
        </w:tc>
        <w:tc>
          <w:tcPr>
            <w:tcW w:w="360" w:type="pct"/>
            <w:vAlign w:val="center"/>
          </w:tcPr>
          <w:p w:rsidR="00403CD6" w:rsidRDefault="00E91A59">
            <w:pPr>
              <w:jc w:val="right"/>
              <w:rPr>
                <w:color w:val="000000"/>
                <w:sz w:val="18"/>
                <w:szCs w:val="18"/>
              </w:rPr>
            </w:pPr>
            <w:r>
              <w:rPr>
                <w:rFonts w:ascii="Calibri" w:hAnsi="Calibri"/>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478,415,952.52</w:t>
            </w:r>
          </w:p>
        </w:tc>
        <w:tc>
          <w:tcPr>
            <w:tcW w:w="628" w:type="pct"/>
            <w:vAlign w:val="center"/>
          </w:tcPr>
          <w:p w:rsidR="00403CD6" w:rsidRDefault="00E91A59">
            <w:pPr>
              <w:rPr>
                <w:color w:val="000000"/>
                <w:sz w:val="18"/>
                <w:szCs w:val="18"/>
              </w:rPr>
            </w:pPr>
            <w:r>
              <w:rPr>
                <w:rFonts w:hint="eastAsia"/>
                <w:color w:val="000000"/>
                <w:sz w:val="18"/>
                <w:szCs w:val="18"/>
              </w:rPr>
              <w:t>与收益相关</w:t>
            </w:r>
          </w:p>
        </w:tc>
      </w:tr>
      <w:tr w:rsidR="00403CD6">
        <w:trPr>
          <w:trHeight w:val="240"/>
        </w:trPr>
        <w:tc>
          <w:tcPr>
            <w:tcW w:w="772" w:type="pct"/>
            <w:vAlign w:val="center"/>
          </w:tcPr>
          <w:p w:rsidR="00403CD6" w:rsidRDefault="00E91A59">
            <w:pPr>
              <w:jc w:val="both"/>
              <w:rPr>
                <w:rFonts w:ascii="Times New Roman" w:hAnsi="Times New Roman" w:cs="Times New Roman"/>
                <w:color w:val="000000"/>
                <w:sz w:val="18"/>
                <w:szCs w:val="18"/>
              </w:rPr>
            </w:pPr>
            <w:r>
              <w:rPr>
                <w:rFonts w:hint="eastAsia"/>
                <w:color w:val="000000"/>
                <w:sz w:val="18"/>
                <w:szCs w:val="18"/>
              </w:rPr>
              <w:t>黄冈林浆纸一体化项目</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445,968,305.25</w:t>
            </w:r>
          </w:p>
        </w:tc>
        <w:tc>
          <w:tcPr>
            <w:tcW w:w="39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25,026,217.80</w:t>
            </w:r>
          </w:p>
        </w:tc>
        <w:tc>
          <w:tcPr>
            <w:tcW w:w="432" w:type="pct"/>
            <w:vAlign w:val="center"/>
          </w:tcPr>
          <w:p w:rsidR="00403CD6" w:rsidRDefault="00E91A59">
            <w:pPr>
              <w:jc w:val="right"/>
              <w:rPr>
                <w:rFonts w:ascii="Times New Roman" w:hAnsi="Times New Roman" w:cs="Times New Roman"/>
                <w:color w:val="000000"/>
                <w:sz w:val="18"/>
                <w:szCs w:val="18"/>
              </w:rPr>
            </w:pPr>
            <w:r>
              <w:rPr>
                <w:rFonts w:ascii="Calibri" w:hAnsi="Calibri"/>
                <w:color w:val="000000"/>
                <w:sz w:val="18"/>
                <w:szCs w:val="18"/>
              </w:rPr>
              <w:t xml:space="preserve">　</w:t>
            </w:r>
          </w:p>
        </w:tc>
        <w:tc>
          <w:tcPr>
            <w:tcW w:w="360" w:type="pct"/>
            <w:vAlign w:val="center"/>
          </w:tcPr>
          <w:p w:rsidR="00403CD6" w:rsidRDefault="00E91A59">
            <w:pPr>
              <w:jc w:val="right"/>
              <w:rPr>
                <w:rFonts w:ascii="Times New Roman" w:hAnsi="Times New Roman" w:cs="Times New Roman"/>
                <w:color w:val="000000"/>
                <w:sz w:val="18"/>
                <w:szCs w:val="18"/>
              </w:rPr>
            </w:pPr>
            <w:r>
              <w:rPr>
                <w:rFonts w:ascii="Calibri" w:hAnsi="Calibri"/>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420,942,087.45</w:t>
            </w:r>
          </w:p>
        </w:tc>
        <w:tc>
          <w:tcPr>
            <w:tcW w:w="628" w:type="pct"/>
            <w:vAlign w:val="center"/>
          </w:tcPr>
          <w:p w:rsidR="00403CD6" w:rsidRDefault="00E91A59">
            <w:pPr>
              <w:rPr>
                <w:rFonts w:ascii="Times New Roman" w:hAnsi="Times New Roman" w:cs="Times New Roman"/>
                <w:color w:val="000000"/>
                <w:sz w:val="18"/>
                <w:szCs w:val="18"/>
              </w:rPr>
            </w:pPr>
            <w:r>
              <w:rPr>
                <w:rFonts w:hint="eastAsia"/>
                <w:color w:val="000000"/>
                <w:sz w:val="18"/>
                <w:szCs w:val="18"/>
              </w:rPr>
              <w:t>与资产相关</w:t>
            </w:r>
          </w:p>
        </w:tc>
      </w:tr>
      <w:tr w:rsidR="00403CD6">
        <w:trPr>
          <w:trHeight w:val="240"/>
        </w:trPr>
        <w:tc>
          <w:tcPr>
            <w:tcW w:w="772" w:type="pct"/>
            <w:vAlign w:val="center"/>
          </w:tcPr>
          <w:p w:rsidR="00403CD6" w:rsidRDefault="00E91A59">
            <w:pPr>
              <w:jc w:val="both"/>
              <w:rPr>
                <w:color w:val="000000"/>
                <w:sz w:val="18"/>
                <w:szCs w:val="18"/>
              </w:rPr>
            </w:pPr>
            <w:r>
              <w:rPr>
                <w:rFonts w:hint="eastAsia"/>
                <w:color w:val="000000"/>
                <w:sz w:val="18"/>
                <w:szCs w:val="18"/>
              </w:rPr>
              <w:t>基础设施及环保工程</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196,803,377.25</w:t>
            </w:r>
          </w:p>
        </w:tc>
        <w:tc>
          <w:tcPr>
            <w:tcW w:w="390" w:type="pct"/>
            <w:vAlign w:val="center"/>
          </w:tcPr>
          <w:p w:rsidR="00403CD6" w:rsidRDefault="00E91A59">
            <w:pPr>
              <w:jc w:val="right"/>
              <w:rPr>
                <w:color w:val="000000"/>
                <w:sz w:val="18"/>
                <w:szCs w:val="18"/>
              </w:rPr>
            </w:pP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11,517,589.45</w:t>
            </w:r>
          </w:p>
        </w:tc>
        <w:tc>
          <w:tcPr>
            <w:tcW w:w="432" w:type="pct"/>
            <w:vAlign w:val="center"/>
          </w:tcPr>
          <w:p w:rsidR="00403CD6" w:rsidRDefault="00E91A59">
            <w:pPr>
              <w:jc w:val="right"/>
              <w:rPr>
                <w:color w:val="000000"/>
                <w:sz w:val="18"/>
                <w:szCs w:val="18"/>
              </w:rPr>
            </w:pPr>
            <w:r>
              <w:rPr>
                <w:rFonts w:hint="eastAsia"/>
                <w:color w:val="000000"/>
                <w:sz w:val="18"/>
                <w:szCs w:val="18"/>
              </w:rPr>
              <w:t xml:space="preserve">　</w:t>
            </w:r>
          </w:p>
        </w:tc>
        <w:tc>
          <w:tcPr>
            <w:tcW w:w="360" w:type="pct"/>
            <w:vAlign w:val="center"/>
          </w:tcPr>
          <w:p w:rsidR="00403CD6" w:rsidRDefault="00E91A59">
            <w:pPr>
              <w:jc w:val="right"/>
              <w:rPr>
                <w:color w:val="000000"/>
                <w:sz w:val="18"/>
                <w:szCs w:val="18"/>
              </w:rPr>
            </w:pPr>
            <w:r>
              <w:rPr>
                <w:rFonts w:hint="eastAsia"/>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185,285,787.80</w:t>
            </w:r>
          </w:p>
        </w:tc>
        <w:tc>
          <w:tcPr>
            <w:tcW w:w="628" w:type="pct"/>
            <w:vAlign w:val="center"/>
          </w:tcPr>
          <w:p w:rsidR="00403CD6" w:rsidRDefault="00E91A59">
            <w:pPr>
              <w:rPr>
                <w:color w:val="000000"/>
                <w:sz w:val="18"/>
                <w:szCs w:val="18"/>
              </w:rPr>
            </w:pPr>
            <w:r>
              <w:rPr>
                <w:rFonts w:hint="eastAsia"/>
                <w:color w:val="000000"/>
                <w:sz w:val="18"/>
                <w:szCs w:val="18"/>
              </w:rPr>
              <w:t>与资产相关</w:t>
            </w:r>
          </w:p>
        </w:tc>
      </w:tr>
      <w:tr w:rsidR="00403CD6">
        <w:trPr>
          <w:trHeight w:val="240"/>
        </w:trPr>
        <w:tc>
          <w:tcPr>
            <w:tcW w:w="772" w:type="pct"/>
            <w:vAlign w:val="center"/>
          </w:tcPr>
          <w:p w:rsidR="00403CD6" w:rsidRDefault="00E91A59">
            <w:pPr>
              <w:jc w:val="both"/>
              <w:rPr>
                <w:color w:val="000000"/>
                <w:sz w:val="18"/>
                <w:szCs w:val="18"/>
              </w:rPr>
            </w:pPr>
            <w:r>
              <w:rPr>
                <w:rFonts w:hint="eastAsia"/>
                <w:color w:val="000000"/>
                <w:sz w:val="18"/>
                <w:szCs w:val="18"/>
              </w:rPr>
              <w:t>技改项目财政补助</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95,106,015.68</w:t>
            </w:r>
          </w:p>
        </w:tc>
        <w:tc>
          <w:tcPr>
            <w:tcW w:w="390" w:type="pct"/>
            <w:vAlign w:val="center"/>
          </w:tcPr>
          <w:p w:rsidR="00403CD6" w:rsidRDefault="00E91A59">
            <w:pPr>
              <w:jc w:val="right"/>
              <w:rPr>
                <w:color w:val="000000"/>
                <w:sz w:val="18"/>
                <w:szCs w:val="18"/>
              </w:rPr>
            </w:pPr>
            <w:r>
              <w:rPr>
                <w:rFonts w:ascii="Times New Roman" w:hAnsi="Times New Roman" w:cs="Times New Roman"/>
                <w:color w:val="000000"/>
                <w:sz w:val="18"/>
                <w:szCs w:val="18"/>
              </w:rPr>
              <w:t>3,270,000.00</w:t>
            </w:r>
          </w:p>
        </w:tc>
        <w:tc>
          <w:tcPr>
            <w:tcW w:w="517" w:type="pct"/>
            <w:vAlign w:val="center"/>
          </w:tcPr>
          <w:p w:rsidR="00403CD6" w:rsidRDefault="00E91A59">
            <w:pPr>
              <w:jc w:val="right"/>
              <w:rPr>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8,958,104.96</w:t>
            </w:r>
          </w:p>
        </w:tc>
        <w:tc>
          <w:tcPr>
            <w:tcW w:w="432" w:type="pct"/>
            <w:vAlign w:val="center"/>
          </w:tcPr>
          <w:p w:rsidR="00403CD6" w:rsidRDefault="00E91A59">
            <w:pPr>
              <w:jc w:val="right"/>
              <w:rPr>
                <w:color w:val="000000"/>
                <w:sz w:val="18"/>
                <w:szCs w:val="18"/>
              </w:rPr>
            </w:pPr>
            <w:r>
              <w:rPr>
                <w:rFonts w:hint="eastAsia"/>
                <w:color w:val="000000"/>
                <w:sz w:val="18"/>
                <w:szCs w:val="18"/>
              </w:rPr>
              <w:t xml:space="preserve">　</w:t>
            </w:r>
          </w:p>
        </w:tc>
        <w:tc>
          <w:tcPr>
            <w:tcW w:w="360" w:type="pct"/>
            <w:vAlign w:val="center"/>
          </w:tcPr>
          <w:p w:rsidR="00403CD6" w:rsidRDefault="00E91A59">
            <w:pPr>
              <w:jc w:val="right"/>
              <w:rPr>
                <w:color w:val="000000"/>
                <w:sz w:val="18"/>
                <w:szCs w:val="18"/>
              </w:rPr>
            </w:pPr>
            <w:r>
              <w:rPr>
                <w:rFonts w:hint="eastAsia"/>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89,417,910.72</w:t>
            </w:r>
          </w:p>
        </w:tc>
        <w:tc>
          <w:tcPr>
            <w:tcW w:w="628" w:type="pct"/>
            <w:vAlign w:val="center"/>
          </w:tcPr>
          <w:p w:rsidR="00403CD6" w:rsidRDefault="00E91A59">
            <w:pPr>
              <w:rPr>
                <w:color w:val="000000"/>
                <w:sz w:val="18"/>
                <w:szCs w:val="18"/>
              </w:rPr>
            </w:pPr>
            <w:r>
              <w:rPr>
                <w:rFonts w:hint="eastAsia"/>
                <w:color w:val="000000"/>
                <w:sz w:val="18"/>
                <w:szCs w:val="18"/>
              </w:rPr>
              <w:t>与资产相关</w:t>
            </w:r>
          </w:p>
        </w:tc>
      </w:tr>
      <w:tr w:rsidR="00403CD6">
        <w:trPr>
          <w:trHeight w:val="240"/>
        </w:trPr>
        <w:tc>
          <w:tcPr>
            <w:tcW w:w="772" w:type="pct"/>
            <w:vAlign w:val="center"/>
          </w:tcPr>
          <w:p w:rsidR="00403CD6" w:rsidRDefault="00E91A59">
            <w:pPr>
              <w:jc w:val="both"/>
              <w:rPr>
                <w:rFonts w:ascii="Times New Roman" w:hAnsi="Times New Roman" w:cs="Times New Roman"/>
                <w:color w:val="000000"/>
                <w:sz w:val="18"/>
                <w:szCs w:val="18"/>
              </w:rPr>
            </w:pPr>
            <w:proofErr w:type="gramStart"/>
            <w:r>
              <w:rPr>
                <w:rFonts w:hint="eastAsia"/>
                <w:color w:val="000000"/>
                <w:sz w:val="18"/>
                <w:szCs w:val="18"/>
              </w:rPr>
              <w:t>湛江林</w:t>
            </w:r>
            <w:proofErr w:type="gramEnd"/>
            <w:r>
              <w:rPr>
                <w:rFonts w:hint="eastAsia"/>
                <w:color w:val="000000"/>
                <w:sz w:val="18"/>
                <w:szCs w:val="18"/>
              </w:rPr>
              <w:t>浆纸一体化项目</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42,617,331.35</w:t>
            </w:r>
          </w:p>
        </w:tc>
        <w:tc>
          <w:tcPr>
            <w:tcW w:w="39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4,094,632.92</w:t>
            </w:r>
          </w:p>
        </w:tc>
        <w:tc>
          <w:tcPr>
            <w:tcW w:w="432" w:type="pct"/>
            <w:vAlign w:val="center"/>
          </w:tcPr>
          <w:p w:rsidR="00403CD6" w:rsidRDefault="00E91A59">
            <w:pPr>
              <w:jc w:val="right"/>
              <w:rPr>
                <w:rFonts w:ascii="Times New Roman" w:hAnsi="Times New Roman" w:cs="Times New Roman"/>
                <w:color w:val="000000"/>
                <w:sz w:val="18"/>
                <w:szCs w:val="18"/>
              </w:rPr>
            </w:pPr>
            <w:r>
              <w:rPr>
                <w:rFonts w:ascii="Calibri" w:hAnsi="Calibri"/>
                <w:color w:val="000000"/>
                <w:sz w:val="18"/>
                <w:szCs w:val="18"/>
              </w:rPr>
              <w:t xml:space="preserve">　</w:t>
            </w:r>
          </w:p>
        </w:tc>
        <w:tc>
          <w:tcPr>
            <w:tcW w:w="360" w:type="pct"/>
            <w:vAlign w:val="center"/>
          </w:tcPr>
          <w:p w:rsidR="00403CD6" w:rsidRDefault="00E91A59">
            <w:pPr>
              <w:jc w:val="right"/>
              <w:rPr>
                <w:rFonts w:ascii="Times New Roman" w:hAnsi="Times New Roman" w:cs="Times New Roman"/>
                <w:color w:val="000000"/>
                <w:sz w:val="18"/>
                <w:szCs w:val="18"/>
              </w:rPr>
            </w:pPr>
            <w:r>
              <w:rPr>
                <w:rFonts w:ascii="Calibri" w:hAnsi="Calibri"/>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38,522,698.43</w:t>
            </w:r>
          </w:p>
        </w:tc>
        <w:tc>
          <w:tcPr>
            <w:tcW w:w="628" w:type="pct"/>
            <w:vAlign w:val="center"/>
          </w:tcPr>
          <w:p w:rsidR="00403CD6" w:rsidRDefault="00E91A59">
            <w:pPr>
              <w:rPr>
                <w:rFonts w:ascii="Times New Roman" w:hAnsi="Times New Roman" w:cs="Times New Roman"/>
                <w:color w:val="000000"/>
                <w:sz w:val="18"/>
                <w:szCs w:val="18"/>
              </w:rPr>
            </w:pPr>
            <w:r>
              <w:rPr>
                <w:rFonts w:hint="eastAsia"/>
                <w:color w:val="000000"/>
                <w:sz w:val="18"/>
                <w:szCs w:val="18"/>
              </w:rPr>
              <w:t>与资产相关</w:t>
            </w:r>
          </w:p>
        </w:tc>
      </w:tr>
      <w:tr w:rsidR="00403CD6">
        <w:trPr>
          <w:trHeight w:val="240"/>
        </w:trPr>
        <w:tc>
          <w:tcPr>
            <w:tcW w:w="772" w:type="pct"/>
            <w:vAlign w:val="center"/>
          </w:tcPr>
          <w:p w:rsidR="00403CD6" w:rsidRDefault="00E91A59">
            <w:pPr>
              <w:jc w:val="both"/>
              <w:rPr>
                <w:color w:val="000000"/>
                <w:sz w:val="18"/>
                <w:szCs w:val="18"/>
              </w:rPr>
            </w:pPr>
            <w:r>
              <w:rPr>
                <w:rFonts w:hint="eastAsia"/>
                <w:color w:val="000000"/>
                <w:sz w:val="18"/>
                <w:szCs w:val="18"/>
              </w:rPr>
              <w:t>国家科技支撑计划课题经费</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793,725.00</w:t>
            </w:r>
          </w:p>
        </w:tc>
        <w:tc>
          <w:tcPr>
            <w:tcW w:w="390" w:type="pct"/>
            <w:vAlign w:val="center"/>
          </w:tcPr>
          <w:p w:rsidR="00403CD6" w:rsidRDefault="00E91A59">
            <w:pPr>
              <w:jc w:val="right"/>
              <w:rPr>
                <w:color w:val="000000"/>
                <w:sz w:val="18"/>
                <w:szCs w:val="18"/>
              </w:rPr>
            </w:pP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164,700.00</w:t>
            </w:r>
          </w:p>
        </w:tc>
        <w:tc>
          <w:tcPr>
            <w:tcW w:w="432" w:type="pct"/>
            <w:vAlign w:val="center"/>
          </w:tcPr>
          <w:p w:rsidR="00403CD6" w:rsidRDefault="00E91A59">
            <w:pPr>
              <w:jc w:val="right"/>
              <w:rPr>
                <w:color w:val="000000"/>
                <w:sz w:val="18"/>
                <w:szCs w:val="18"/>
              </w:rPr>
            </w:pPr>
            <w:r>
              <w:rPr>
                <w:rFonts w:ascii="Calibri" w:hAnsi="Calibri"/>
                <w:color w:val="000000"/>
                <w:sz w:val="18"/>
                <w:szCs w:val="18"/>
              </w:rPr>
              <w:t xml:space="preserve">　</w:t>
            </w:r>
          </w:p>
        </w:tc>
        <w:tc>
          <w:tcPr>
            <w:tcW w:w="360" w:type="pct"/>
            <w:vAlign w:val="center"/>
          </w:tcPr>
          <w:p w:rsidR="00403CD6" w:rsidRDefault="00E91A59">
            <w:pPr>
              <w:jc w:val="right"/>
              <w:rPr>
                <w:color w:val="000000"/>
                <w:sz w:val="18"/>
                <w:szCs w:val="18"/>
              </w:rPr>
            </w:pPr>
            <w:r>
              <w:rPr>
                <w:rFonts w:ascii="Calibri" w:hAnsi="Calibri"/>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629,025.00</w:t>
            </w:r>
          </w:p>
        </w:tc>
        <w:tc>
          <w:tcPr>
            <w:tcW w:w="628" w:type="pct"/>
            <w:vAlign w:val="center"/>
          </w:tcPr>
          <w:p w:rsidR="00403CD6" w:rsidRDefault="00E91A59">
            <w:pPr>
              <w:rPr>
                <w:color w:val="000000"/>
                <w:sz w:val="18"/>
                <w:szCs w:val="18"/>
              </w:rPr>
            </w:pPr>
            <w:r>
              <w:rPr>
                <w:rFonts w:hint="eastAsia"/>
                <w:color w:val="000000"/>
                <w:sz w:val="18"/>
                <w:szCs w:val="18"/>
              </w:rPr>
              <w:t>与资产相关</w:t>
            </w:r>
          </w:p>
        </w:tc>
      </w:tr>
      <w:tr w:rsidR="00403CD6">
        <w:trPr>
          <w:trHeight w:val="240"/>
        </w:trPr>
        <w:tc>
          <w:tcPr>
            <w:tcW w:w="772" w:type="pct"/>
            <w:vAlign w:val="center"/>
          </w:tcPr>
          <w:p w:rsidR="00403CD6" w:rsidRDefault="00E91A59">
            <w:pPr>
              <w:jc w:val="both"/>
              <w:rPr>
                <w:rFonts w:ascii="Times New Roman" w:hAnsi="Times New Roman" w:cs="Times New Roman"/>
                <w:color w:val="000000"/>
                <w:sz w:val="18"/>
                <w:szCs w:val="18"/>
              </w:rPr>
            </w:pPr>
            <w:r>
              <w:rPr>
                <w:rFonts w:hint="eastAsia"/>
                <w:color w:val="000000"/>
                <w:sz w:val="18"/>
                <w:szCs w:val="18"/>
              </w:rPr>
              <w:t>其他</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31,881,324.93</w:t>
            </w:r>
          </w:p>
        </w:tc>
        <w:tc>
          <w:tcPr>
            <w:tcW w:w="39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517"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4,155,301.33</w:t>
            </w:r>
          </w:p>
        </w:tc>
        <w:tc>
          <w:tcPr>
            <w:tcW w:w="432" w:type="pct"/>
            <w:vAlign w:val="center"/>
          </w:tcPr>
          <w:p w:rsidR="00403CD6" w:rsidRDefault="00E91A59">
            <w:pPr>
              <w:jc w:val="right"/>
              <w:rPr>
                <w:rFonts w:ascii="Times New Roman" w:hAnsi="Times New Roman" w:cs="Times New Roman"/>
                <w:color w:val="000000"/>
                <w:sz w:val="18"/>
                <w:szCs w:val="18"/>
              </w:rPr>
            </w:pPr>
            <w:r>
              <w:rPr>
                <w:rFonts w:hint="eastAsia"/>
                <w:color w:val="000000"/>
                <w:sz w:val="18"/>
                <w:szCs w:val="18"/>
              </w:rPr>
              <w:t xml:space="preserve">　</w:t>
            </w:r>
          </w:p>
        </w:tc>
        <w:tc>
          <w:tcPr>
            <w:tcW w:w="360" w:type="pct"/>
            <w:vAlign w:val="center"/>
          </w:tcPr>
          <w:p w:rsidR="00403CD6" w:rsidRDefault="00E91A59">
            <w:pPr>
              <w:jc w:val="right"/>
              <w:rPr>
                <w:rFonts w:ascii="Times New Roman" w:hAnsi="Times New Roman" w:cs="Times New Roman"/>
                <w:color w:val="000000"/>
                <w:sz w:val="18"/>
                <w:szCs w:val="18"/>
              </w:rPr>
            </w:pPr>
            <w:r>
              <w:rPr>
                <w:rFonts w:hint="eastAsia"/>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27,726,023.60</w:t>
            </w:r>
          </w:p>
        </w:tc>
        <w:tc>
          <w:tcPr>
            <w:tcW w:w="628" w:type="pct"/>
            <w:vAlign w:val="center"/>
          </w:tcPr>
          <w:p w:rsidR="00403CD6" w:rsidRDefault="00E91A59">
            <w:pPr>
              <w:rPr>
                <w:rFonts w:ascii="Times New Roman" w:hAnsi="Times New Roman" w:cs="Times New Roman"/>
                <w:color w:val="000000"/>
                <w:sz w:val="18"/>
                <w:szCs w:val="18"/>
              </w:rPr>
            </w:pPr>
            <w:r>
              <w:rPr>
                <w:rFonts w:hint="eastAsia"/>
                <w:color w:val="000000"/>
                <w:sz w:val="18"/>
                <w:szCs w:val="18"/>
              </w:rPr>
              <w:t>与资产相关</w:t>
            </w:r>
          </w:p>
        </w:tc>
      </w:tr>
      <w:tr w:rsidR="00403CD6">
        <w:trPr>
          <w:trHeight w:val="240"/>
        </w:trPr>
        <w:tc>
          <w:tcPr>
            <w:tcW w:w="772" w:type="pct"/>
            <w:shd w:val="clear" w:color="auto" w:fill="D9D9D9" w:themeFill="background1" w:themeFillShade="D9"/>
            <w:vAlign w:val="center"/>
          </w:tcPr>
          <w:p w:rsidR="00403CD6" w:rsidRDefault="00E91A59">
            <w:pPr>
              <w:jc w:val="center"/>
              <w:rPr>
                <w:rFonts w:ascii="Times New Roman" w:hAnsi="Times New Roman" w:cs="Times New Roman"/>
                <w:color w:val="000000"/>
                <w:sz w:val="18"/>
                <w:szCs w:val="18"/>
              </w:rPr>
            </w:pPr>
            <w:r>
              <w:rPr>
                <w:rFonts w:hint="eastAsia"/>
                <w:color w:val="000000"/>
                <w:sz w:val="18"/>
                <w:szCs w:val="18"/>
              </w:rPr>
              <w:t>合计</w:t>
            </w:r>
          </w:p>
        </w:tc>
        <w:tc>
          <w:tcPr>
            <w:tcW w:w="75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1,337,864,114.70</w:t>
            </w:r>
          </w:p>
        </w:tc>
        <w:tc>
          <w:tcPr>
            <w:tcW w:w="390"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7,770,000.00</w:t>
            </w:r>
          </w:p>
        </w:tc>
        <w:tc>
          <w:tcPr>
            <w:tcW w:w="517"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104,694,629.18</w:t>
            </w:r>
          </w:p>
        </w:tc>
        <w:tc>
          <w:tcPr>
            <w:tcW w:w="432" w:type="pct"/>
            <w:vAlign w:val="center"/>
          </w:tcPr>
          <w:p w:rsidR="00403CD6" w:rsidRDefault="00E91A59">
            <w:pPr>
              <w:jc w:val="right"/>
              <w:rPr>
                <w:rFonts w:ascii="Times New Roman" w:hAnsi="Times New Roman" w:cs="Times New Roman"/>
                <w:color w:val="000000"/>
                <w:sz w:val="18"/>
                <w:szCs w:val="18"/>
              </w:rPr>
            </w:pPr>
            <w:r>
              <w:rPr>
                <w:rFonts w:hint="eastAsia"/>
                <w:color w:val="000000"/>
                <w:sz w:val="18"/>
                <w:szCs w:val="18"/>
              </w:rPr>
              <w:t xml:space="preserve">　</w:t>
            </w:r>
          </w:p>
        </w:tc>
        <w:tc>
          <w:tcPr>
            <w:tcW w:w="360" w:type="pct"/>
            <w:vAlign w:val="center"/>
          </w:tcPr>
          <w:p w:rsidR="00403CD6" w:rsidRDefault="00E91A59">
            <w:pPr>
              <w:jc w:val="right"/>
              <w:rPr>
                <w:rFonts w:ascii="Times New Roman" w:hAnsi="Times New Roman" w:cs="Times New Roman"/>
                <w:color w:val="000000"/>
                <w:sz w:val="18"/>
                <w:szCs w:val="18"/>
              </w:rPr>
            </w:pPr>
            <w:r>
              <w:rPr>
                <w:rFonts w:hint="eastAsia"/>
                <w:color w:val="000000"/>
                <w:sz w:val="18"/>
                <w:szCs w:val="18"/>
              </w:rPr>
              <w:t xml:space="preserve">　</w:t>
            </w:r>
          </w:p>
        </w:tc>
        <w:tc>
          <w:tcPr>
            <w:tcW w:w="503" w:type="pct"/>
            <w:vAlign w:val="center"/>
          </w:tcPr>
          <w:p w:rsidR="00403CD6" w:rsidRDefault="00E91A59">
            <w:pPr>
              <w:jc w:val="right"/>
              <w:rPr>
                <w:rFonts w:ascii="Times New Roman" w:hAnsi="Times New Roman" w:cs="Times New Roman"/>
                <w:color w:val="000000"/>
                <w:sz w:val="18"/>
                <w:szCs w:val="18"/>
              </w:rPr>
            </w:pPr>
            <w:r>
              <w:rPr>
                <w:rFonts w:ascii="Times New Roman" w:hAnsi="Times New Roman" w:cs="Times New Roman"/>
                <w:color w:val="000000"/>
                <w:sz w:val="18"/>
                <w:szCs w:val="18"/>
              </w:rPr>
              <w:t>1,240,939,485.52</w:t>
            </w:r>
          </w:p>
        </w:tc>
        <w:tc>
          <w:tcPr>
            <w:tcW w:w="628" w:type="pct"/>
            <w:vAlign w:val="center"/>
          </w:tcPr>
          <w:p w:rsidR="00403CD6" w:rsidRDefault="00E91A59">
            <w:pPr>
              <w:rPr>
                <w:rFonts w:ascii="Times New Roman" w:hAnsi="Times New Roman" w:cs="Times New Roman"/>
                <w:color w:val="000000"/>
                <w:sz w:val="18"/>
                <w:szCs w:val="18"/>
              </w:rPr>
            </w:pPr>
            <w:r>
              <w:rPr>
                <w:rFonts w:hint="eastAsia"/>
                <w:color w:val="000000"/>
                <w:sz w:val="18"/>
                <w:szCs w:val="18"/>
              </w:rPr>
              <w:t xml:space="preserve">　</w:t>
            </w:r>
          </w:p>
        </w:tc>
      </w:tr>
    </w:tbl>
    <w:bookmarkEnd w:id="93"/>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40、股本</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7"/>
        <w:gridCol w:w="1476"/>
        <w:gridCol w:w="1484"/>
        <w:gridCol w:w="814"/>
        <w:gridCol w:w="1117"/>
        <w:gridCol w:w="905"/>
        <w:gridCol w:w="1464"/>
        <w:gridCol w:w="1476"/>
      </w:tblGrid>
      <w:tr w:rsidR="00403CD6">
        <w:trPr>
          <w:trHeight w:val="284"/>
        </w:trPr>
        <w:tc>
          <w:tcPr>
            <w:tcW w:w="567" w:type="pct"/>
            <w:vMerge w:val="restart"/>
            <w:shd w:val="clear" w:color="auto" w:fill="D3D3D3"/>
            <w:vAlign w:val="center"/>
          </w:tcPr>
          <w:p w:rsidR="00403CD6" w:rsidRDefault="00403CD6">
            <w:pPr>
              <w:rPr>
                <w:rFonts w:ascii="Times New Roman" w:hAnsi="Times New Roman" w:cs="Times New Roman"/>
              </w:rPr>
            </w:pPr>
          </w:p>
        </w:tc>
        <w:tc>
          <w:tcPr>
            <w:tcW w:w="74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2935" w:type="pct"/>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本次变动增减（</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74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567" w:type="pct"/>
            <w:vMerge/>
            <w:vAlign w:val="center"/>
          </w:tcPr>
          <w:p w:rsidR="00403CD6" w:rsidRDefault="00403CD6">
            <w:pPr>
              <w:widowControl/>
              <w:rPr>
                <w:rFonts w:ascii="Times New Roman" w:hAnsi="Times New Roman" w:cs="Times New Roman"/>
              </w:rPr>
            </w:pPr>
          </w:p>
        </w:tc>
        <w:tc>
          <w:tcPr>
            <w:tcW w:w="749" w:type="pct"/>
            <w:vMerge/>
            <w:vAlign w:val="center"/>
          </w:tcPr>
          <w:p w:rsidR="00403CD6" w:rsidRDefault="00403CD6">
            <w:pPr>
              <w:widowControl/>
              <w:rPr>
                <w:rFonts w:ascii="Times New Roman" w:eastAsia="宋体" w:hAnsi="Times New Roman" w:cs="Times New Roman"/>
                <w:sz w:val="18"/>
                <w:szCs w:val="18"/>
              </w:rPr>
            </w:pPr>
          </w:p>
        </w:tc>
        <w:tc>
          <w:tcPr>
            <w:tcW w:w="75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回购限售股</w:t>
            </w:r>
          </w:p>
        </w:tc>
        <w:tc>
          <w:tcPr>
            <w:tcW w:w="4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送股</w:t>
            </w:r>
          </w:p>
        </w:tc>
        <w:tc>
          <w:tcPr>
            <w:tcW w:w="5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公积金转股</w:t>
            </w:r>
          </w:p>
        </w:tc>
        <w:tc>
          <w:tcPr>
            <w:tcW w:w="45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4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小计</w:t>
            </w:r>
          </w:p>
        </w:tc>
        <w:tc>
          <w:tcPr>
            <w:tcW w:w="749"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5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股份总数</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2,956,813,200.00</w:t>
            </w:r>
          </w:p>
        </w:tc>
        <w:tc>
          <w:tcPr>
            <w:tcW w:w="75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-22,</w:t>
            </w:r>
            <w:r>
              <w:rPr>
                <w:rFonts w:ascii="Times New Roman" w:hAnsi="Times New Roman" w:cs="Times New Roman" w:hint="eastAsia"/>
                <w:sz w:val="18"/>
                <w:szCs w:val="18"/>
              </w:rPr>
              <w:t>257</w:t>
            </w:r>
            <w:r>
              <w:rPr>
                <w:rFonts w:ascii="Times New Roman" w:hAnsi="Times New Roman" w:cs="Times New Roman"/>
                <w:sz w:val="18"/>
                <w:szCs w:val="18"/>
              </w:rPr>
              <w:t>,000.00</w:t>
            </w:r>
          </w:p>
        </w:tc>
        <w:tc>
          <w:tcPr>
            <w:tcW w:w="413" w:type="pct"/>
            <w:vAlign w:val="center"/>
          </w:tcPr>
          <w:p w:rsidR="00403CD6" w:rsidRDefault="00403CD6">
            <w:pPr>
              <w:spacing w:line="240" w:lineRule="exact"/>
              <w:jc w:val="right"/>
              <w:rPr>
                <w:rFonts w:ascii="Times New Roman" w:eastAsia="宋体" w:hAnsi="Times New Roman" w:cs="Times New Roman"/>
                <w:sz w:val="18"/>
                <w:szCs w:val="18"/>
              </w:rPr>
            </w:pPr>
          </w:p>
        </w:tc>
        <w:tc>
          <w:tcPr>
            <w:tcW w:w="567" w:type="pct"/>
            <w:vAlign w:val="center"/>
          </w:tcPr>
          <w:p w:rsidR="00403CD6" w:rsidRDefault="00403CD6">
            <w:pPr>
              <w:spacing w:line="240" w:lineRule="exact"/>
              <w:jc w:val="right"/>
              <w:rPr>
                <w:rFonts w:ascii="Times New Roman" w:eastAsia="宋体" w:hAnsi="Times New Roman" w:cs="Times New Roman"/>
                <w:sz w:val="18"/>
                <w:szCs w:val="18"/>
              </w:rPr>
            </w:pPr>
          </w:p>
        </w:tc>
        <w:tc>
          <w:tcPr>
            <w:tcW w:w="459" w:type="pct"/>
            <w:vAlign w:val="center"/>
          </w:tcPr>
          <w:p w:rsidR="00403CD6" w:rsidRDefault="00403CD6">
            <w:pPr>
              <w:spacing w:line="240" w:lineRule="exact"/>
              <w:jc w:val="right"/>
              <w:rPr>
                <w:rFonts w:ascii="Times New Roman" w:eastAsia="宋体" w:hAnsi="Times New Roman" w:cs="Times New Roman"/>
                <w:sz w:val="18"/>
                <w:szCs w:val="18"/>
              </w:rPr>
            </w:pPr>
          </w:p>
        </w:tc>
        <w:tc>
          <w:tcPr>
            <w:tcW w:w="74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-22,</w:t>
            </w:r>
            <w:r>
              <w:rPr>
                <w:rFonts w:ascii="Times New Roman" w:hAnsi="Times New Roman" w:cs="Times New Roman" w:hint="eastAsia"/>
                <w:sz w:val="18"/>
                <w:szCs w:val="18"/>
              </w:rPr>
              <w:t>257</w:t>
            </w:r>
            <w:r>
              <w:rPr>
                <w:rFonts w:ascii="Times New Roman" w:hAnsi="Times New Roman" w:cs="Times New Roman"/>
                <w:sz w:val="18"/>
                <w:szCs w:val="18"/>
              </w:rPr>
              <w:t>,000.00</w:t>
            </w:r>
          </w:p>
        </w:tc>
        <w:tc>
          <w:tcPr>
            <w:tcW w:w="7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2,934,556,200.00</w:t>
            </w:r>
          </w:p>
        </w:tc>
      </w:tr>
    </w:tbl>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其他说明：</w:t>
      </w:r>
      <w:r>
        <w:rPr>
          <w:rFonts w:ascii="Times New Roman" w:eastAsia="宋体" w:hAnsi="Times New Roman" w:cs="Times New Roman"/>
          <w:sz w:val="18"/>
          <w:szCs w:val="18"/>
        </w:rPr>
        <w:t>2024</w:t>
      </w:r>
      <w:r>
        <w:rPr>
          <w:rFonts w:ascii="Times New Roman" w:eastAsia="宋体" w:hAnsi="Times New Roman" w:cs="Times New Roman"/>
          <w:sz w:val="18"/>
          <w:szCs w:val="18"/>
        </w:rPr>
        <w:t>年</w:t>
      </w:r>
      <w:r>
        <w:rPr>
          <w:rFonts w:ascii="Times New Roman" w:eastAsia="宋体" w:hAnsi="Times New Roman" w:cs="Times New Roman"/>
          <w:sz w:val="18"/>
          <w:szCs w:val="18"/>
        </w:rPr>
        <w:t>7</w:t>
      </w:r>
      <w:r>
        <w:rPr>
          <w:rFonts w:ascii="Times New Roman" w:eastAsia="宋体" w:hAnsi="Times New Roman" w:cs="Times New Roman"/>
          <w:sz w:val="18"/>
          <w:szCs w:val="18"/>
        </w:rPr>
        <w:t>月</w:t>
      </w:r>
      <w:r>
        <w:rPr>
          <w:rFonts w:ascii="Times New Roman" w:eastAsia="宋体" w:hAnsi="Times New Roman" w:cs="Times New Roman"/>
          <w:sz w:val="18"/>
          <w:szCs w:val="18"/>
        </w:rPr>
        <w:t>31</w:t>
      </w:r>
      <w:r>
        <w:rPr>
          <w:rFonts w:ascii="Times New Roman" w:eastAsia="宋体" w:hAnsi="Times New Roman" w:cs="Times New Roman"/>
          <w:sz w:val="18"/>
          <w:szCs w:val="18"/>
        </w:rPr>
        <w:t>日，本公司召开第十届董事会第十五次临时会议和第十届监事会第六次临时会议，审议通过了《关于</w:t>
      </w:r>
      <w:r>
        <w:rPr>
          <w:rFonts w:ascii="Times New Roman" w:eastAsia="宋体" w:hAnsi="Times New Roman" w:cs="Times New Roman"/>
          <w:sz w:val="18"/>
          <w:szCs w:val="18"/>
        </w:rPr>
        <w:t>2020</w:t>
      </w:r>
      <w:r>
        <w:rPr>
          <w:rFonts w:ascii="Times New Roman" w:eastAsia="宋体" w:hAnsi="Times New Roman" w:cs="Times New Roman"/>
          <w:sz w:val="18"/>
          <w:szCs w:val="18"/>
        </w:rPr>
        <w:t>年</w:t>
      </w:r>
      <w:r>
        <w:rPr>
          <w:rFonts w:ascii="Times New Roman" w:eastAsia="宋体" w:hAnsi="Times New Roman" w:cs="Times New Roman"/>
          <w:sz w:val="18"/>
          <w:szCs w:val="18"/>
        </w:rPr>
        <w:t>A</w:t>
      </w:r>
      <w:r>
        <w:rPr>
          <w:rFonts w:ascii="Times New Roman" w:eastAsia="宋体" w:hAnsi="Times New Roman" w:cs="Times New Roman"/>
          <w:sz w:val="18"/>
          <w:szCs w:val="18"/>
        </w:rPr>
        <w:t>股限制性股票激励计划第三个解除限售期解除限售条件未成就暨回购注销部分限制性股票的议案》，本期回购限售股已经致同会计师事务所（特殊普通合伙）出具了报告号为</w:t>
      </w:r>
      <w:proofErr w:type="gramStart"/>
      <w:r>
        <w:rPr>
          <w:rFonts w:ascii="Times New Roman" w:eastAsia="宋体" w:hAnsi="Times New Roman" w:cs="Times New Roman"/>
          <w:sz w:val="18"/>
          <w:szCs w:val="18"/>
        </w:rPr>
        <w:t>致同验字</w:t>
      </w:r>
      <w:proofErr w:type="gramEnd"/>
      <w:r>
        <w:rPr>
          <w:rFonts w:ascii="Times New Roman" w:eastAsia="宋体" w:hAnsi="Times New Roman" w:cs="Times New Roman"/>
          <w:sz w:val="18"/>
          <w:szCs w:val="18"/>
        </w:rPr>
        <w:t>（</w:t>
      </w:r>
      <w:r>
        <w:rPr>
          <w:rFonts w:ascii="Times New Roman" w:eastAsia="宋体" w:hAnsi="Times New Roman" w:cs="Times New Roman"/>
          <w:sz w:val="18"/>
          <w:szCs w:val="18"/>
        </w:rPr>
        <w:t>2024</w:t>
      </w:r>
      <w:r>
        <w:rPr>
          <w:rFonts w:ascii="Times New Roman" w:eastAsia="宋体" w:hAnsi="Times New Roman" w:cs="Times New Roman"/>
          <w:sz w:val="18"/>
          <w:szCs w:val="18"/>
        </w:rPr>
        <w:t>）第</w:t>
      </w:r>
      <w:r>
        <w:rPr>
          <w:rFonts w:ascii="Times New Roman" w:eastAsia="宋体" w:hAnsi="Times New Roman" w:cs="Times New Roman"/>
          <w:sz w:val="18"/>
          <w:szCs w:val="18"/>
        </w:rPr>
        <w:t>371C000421</w:t>
      </w:r>
      <w:r>
        <w:rPr>
          <w:rFonts w:ascii="Times New Roman" w:eastAsia="宋体" w:hAnsi="Times New Roman" w:cs="Times New Roman"/>
          <w:sz w:val="18"/>
          <w:szCs w:val="18"/>
        </w:rPr>
        <w:t>号的验资报告，回购完成后本公司股份总数由</w:t>
      </w:r>
      <w:r>
        <w:rPr>
          <w:rFonts w:ascii="Times New Roman" w:eastAsia="宋体" w:hAnsi="Times New Roman" w:cs="Times New Roman"/>
          <w:sz w:val="18"/>
          <w:szCs w:val="18"/>
        </w:rPr>
        <w:t>295,681.32</w:t>
      </w:r>
      <w:r>
        <w:rPr>
          <w:rFonts w:ascii="Times New Roman" w:eastAsia="宋体" w:hAnsi="Times New Roman" w:cs="Times New Roman"/>
          <w:sz w:val="18"/>
          <w:szCs w:val="18"/>
        </w:rPr>
        <w:t>万股变更为</w:t>
      </w:r>
      <w:r>
        <w:rPr>
          <w:rFonts w:ascii="Times New Roman" w:eastAsia="宋体" w:hAnsi="Times New Roman" w:cs="Times New Roman"/>
          <w:sz w:val="18"/>
          <w:szCs w:val="18"/>
        </w:rPr>
        <w:t>293,455.62</w:t>
      </w:r>
      <w:r>
        <w:rPr>
          <w:rFonts w:ascii="Times New Roman" w:eastAsia="宋体" w:hAnsi="Times New Roman" w:cs="Times New Roman"/>
          <w:sz w:val="18"/>
          <w:szCs w:val="18"/>
        </w:rPr>
        <w:t>万股。</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41、资本公积</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99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lastRenderedPageBreak/>
              <w:t>股本溢价</w:t>
            </w:r>
          </w:p>
        </w:tc>
        <w:tc>
          <w:tcPr>
            <w:tcW w:w="99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4,599,770,312.40</w:t>
            </w:r>
          </w:p>
        </w:tc>
        <w:tc>
          <w:tcPr>
            <w:tcW w:w="100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10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121,112,276.86</w:t>
            </w:r>
          </w:p>
        </w:tc>
        <w:tc>
          <w:tcPr>
            <w:tcW w:w="10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4,478,658,035.54</w:t>
            </w:r>
          </w:p>
        </w:tc>
      </w:tr>
      <w:tr w:rsidR="00403CD6">
        <w:trPr>
          <w:trHeight w:val="284"/>
        </w:trPr>
        <w:tc>
          <w:tcPr>
            <w:tcW w:w="99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其他资本公积</w:t>
            </w:r>
          </w:p>
        </w:tc>
        <w:tc>
          <w:tcPr>
            <w:tcW w:w="1969"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729,020,587.21</w:t>
            </w:r>
          </w:p>
        </w:tc>
        <w:tc>
          <w:tcPr>
            <w:tcW w:w="1971" w:type="dxa"/>
            <w:shd w:val="clear" w:color="auto" w:fill="auto"/>
            <w:vAlign w:val="center"/>
          </w:tcPr>
          <w:p w:rsidR="00403CD6" w:rsidRDefault="00403CD6">
            <w:pPr>
              <w:jc w:val="right"/>
              <w:rPr>
                <w:rFonts w:ascii="Times New Roman" w:eastAsia="仿宋_GB2312" w:hAnsi="Times New Roman" w:cs="Times New Roman"/>
                <w:sz w:val="18"/>
                <w:szCs w:val="18"/>
              </w:rPr>
            </w:pPr>
          </w:p>
        </w:tc>
        <w:tc>
          <w:tcPr>
            <w:tcW w:w="1972" w:type="dxa"/>
            <w:shd w:val="clear" w:color="auto" w:fill="auto"/>
            <w:vAlign w:val="center"/>
          </w:tcPr>
          <w:p w:rsidR="00403CD6" w:rsidRDefault="00403CD6">
            <w:pPr>
              <w:rPr>
                <w:rFonts w:ascii="Times New Roman" w:eastAsia="仿宋_GB2312" w:hAnsi="Times New Roman" w:cs="Times New Roman"/>
                <w:sz w:val="18"/>
                <w:szCs w:val="18"/>
              </w:rPr>
            </w:pPr>
          </w:p>
        </w:tc>
        <w:tc>
          <w:tcPr>
            <w:tcW w:w="1972"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729,020,587.21</w:t>
            </w:r>
          </w:p>
        </w:tc>
      </w:tr>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5,328,790,899.61</w:t>
            </w:r>
          </w:p>
        </w:tc>
        <w:tc>
          <w:tcPr>
            <w:tcW w:w="1971" w:type="dxa"/>
            <w:vAlign w:val="center"/>
          </w:tcPr>
          <w:p w:rsidR="00403CD6" w:rsidRDefault="00403CD6">
            <w:pPr>
              <w:jc w:val="right"/>
              <w:rPr>
                <w:rFonts w:ascii="Times New Roman" w:eastAsia="宋体" w:hAnsi="Times New Roman" w:cs="Times New Roman"/>
                <w:sz w:val="18"/>
                <w:szCs w:val="18"/>
              </w:rPr>
            </w:pP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121,112,276.86</w:t>
            </w: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5,207,678,622.75</w:t>
            </w:r>
          </w:p>
        </w:tc>
      </w:tr>
    </w:tbl>
    <w:p w:rsidR="00403CD6" w:rsidRDefault="00E91A59">
      <w:pPr>
        <w:rPr>
          <w:rFonts w:ascii="Times New Roman" w:hAnsi="Times New Roman" w:cs="Times New Roman"/>
          <w:bCs/>
          <w:sz w:val="18"/>
          <w:szCs w:val="18"/>
        </w:rPr>
      </w:pPr>
      <w:r>
        <w:rPr>
          <w:rFonts w:ascii="Times New Roman" w:hAnsi="Times New Roman" w:cs="Times New Roman"/>
          <w:sz w:val="18"/>
          <w:szCs w:val="18"/>
        </w:rPr>
        <w:t>其他说明，包括本期增减变动情况、变动原因说明：</w:t>
      </w:r>
      <w:r>
        <w:rPr>
          <w:rFonts w:ascii="宋体" w:eastAsia="宋体" w:hAnsi="宋体" w:cs="宋体" w:hint="eastAsia"/>
          <w:bCs/>
          <w:sz w:val="18"/>
          <w:szCs w:val="18"/>
        </w:rPr>
        <w:t>①</w:t>
      </w:r>
      <w:r>
        <w:rPr>
          <w:rFonts w:ascii="Times New Roman" w:hAnsi="Times New Roman" w:cs="Times New Roman"/>
          <w:bCs/>
          <w:sz w:val="18"/>
          <w:szCs w:val="18"/>
        </w:rPr>
        <w:t>本公司购买子公司寿光美伦纸业有限公司少数股东部分股权，减少资本公积</w:t>
      </w:r>
      <w:r>
        <w:rPr>
          <w:rFonts w:ascii="Times New Roman" w:hAnsi="Times New Roman" w:cs="Times New Roman"/>
          <w:bCs/>
          <w:sz w:val="18"/>
          <w:szCs w:val="18"/>
        </w:rPr>
        <w:t xml:space="preserve"> 9,957,619.55 </w:t>
      </w:r>
      <w:r>
        <w:rPr>
          <w:rFonts w:ascii="Times New Roman" w:hAnsi="Times New Roman" w:cs="Times New Roman"/>
          <w:bCs/>
          <w:sz w:val="18"/>
          <w:szCs w:val="18"/>
        </w:rPr>
        <w:t>元；</w:t>
      </w:r>
      <w:r>
        <w:rPr>
          <w:rFonts w:ascii="宋体" w:eastAsia="宋体" w:hAnsi="宋体" w:cs="宋体" w:hint="eastAsia"/>
          <w:bCs/>
          <w:sz w:val="18"/>
          <w:szCs w:val="18"/>
        </w:rPr>
        <w:t>②</w:t>
      </w:r>
      <w:r>
        <w:rPr>
          <w:rFonts w:ascii="Times New Roman" w:hAnsi="Times New Roman" w:cs="Times New Roman"/>
          <w:bCs/>
          <w:sz w:val="18"/>
          <w:szCs w:val="18"/>
        </w:rPr>
        <w:t>本公司对山东御景大酒店有限公司增资，减少资本公积</w:t>
      </w:r>
      <w:r>
        <w:rPr>
          <w:rFonts w:ascii="Times New Roman" w:hAnsi="Times New Roman" w:cs="Times New Roman"/>
          <w:bCs/>
          <w:sz w:val="18"/>
          <w:szCs w:val="18"/>
        </w:rPr>
        <w:t>67,989,974.96</w:t>
      </w:r>
      <w:r>
        <w:rPr>
          <w:rFonts w:ascii="Times New Roman" w:hAnsi="Times New Roman" w:cs="Times New Roman"/>
          <w:bCs/>
          <w:sz w:val="18"/>
          <w:szCs w:val="18"/>
        </w:rPr>
        <w:t>元；</w:t>
      </w:r>
      <w:r>
        <w:rPr>
          <w:rFonts w:ascii="宋体" w:eastAsia="宋体" w:hAnsi="宋体" w:cs="宋体" w:hint="eastAsia"/>
          <w:bCs/>
          <w:sz w:val="18"/>
          <w:szCs w:val="18"/>
        </w:rPr>
        <w:t>③</w:t>
      </w:r>
      <w:r>
        <w:rPr>
          <w:rFonts w:ascii="Times New Roman" w:hAnsi="Times New Roman" w:cs="Times New Roman"/>
          <w:bCs/>
          <w:sz w:val="18"/>
          <w:szCs w:val="18"/>
        </w:rPr>
        <w:t>本公司之联营企业广东南粤银行股份有限公司资本公积变动，减少资本公积</w:t>
      </w:r>
      <w:r>
        <w:rPr>
          <w:rFonts w:ascii="Times New Roman" w:hAnsi="Times New Roman" w:cs="Times New Roman"/>
          <w:bCs/>
          <w:sz w:val="18"/>
          <w:szCs w:val="18"/>
        </w:rPr>
        <w:t>1,989,232.35</w:t>
      </w:r>
      <w:r>
        <w:rPr>
          <w:rFonts w:ascii="Times New Roman" w:hAnsi="Times New Roman" w:cs="Times New Roman"/>
          <w:bCs/>
          <w:sz w:val="18"/>
          <w:szCs w:val="18"/>
        </w:rPr>
        <w:t>元；</w:t>
      </w:r>
      <w:r>
        <w:rPr>
          <w:rFonts w:ascii="宋体" w:eastAsia="宋体" w:hAnsi="宋体" w:cs="宋体" w:hint="eastAsia"/>
          <w:bCs/>
          <w:sz w:val="18"/>
          <w:szCs w:val="18"/>
        </w:rPr>
        <w:t>④</w:t>
      </w:r>
      <w:r>
        <w:rPr>
          <w:rFonts w:ascii="Times New Roman" w:hAnsi="Times New Roman" w:cs="Times New Roman"/>
          <w:bCs/>
          <w:sz w:val="18"/>
          <w:szCs w:val="18"/>
        </w:rPr>
        <w:t>本期回购未能解锁的限售股，减少资本公积</w:t>
      </w:r>
      <w:r>
        <w:rPr>
          <w:rFonts w:ascii="Times New Roman" w:hAnsi="Times New Roman" w:cs="Times New Roman"/>
          <w:bCs/>
          <w:sz w:val="18"/>
          <w:szCs w:val="18"/>
        </w:rPr>
        <w:t>41,175,450.00</w:t>
      </w:r>
      <w:r>
        <w:rPr>
          <w:rFonts w:ascii="Times New Roman" w:hAnsi="Times New Roman" w:cs="Times New Roman"/>
          <w:bCs/>
          <w:sz w:val="18"/>
          <w:szCs w:val="18"/>
        </w:rPr>
        <w:t>元。</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42、库存股</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999"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股权激励</w:t>
            </w:r>
          </w:p>
        </w:tc>
        <w:tc>
          <w:tcPr>
            <w:tcW w:w="99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63,432,450.00</w:t>
            </w:r>
          </w:p>
        </w:tc>
        <w:tc>
          <w:tcPr>
            <w:tcW w:w="1000" w:type="pct"/>
            <w:shd w:val="clear" w:color="auto" w:fill="auto"/>
            <w:vAlign w:val="center"/>
          </w:tcPr>
          <w:p w:rsidR="00403CD6" w:rsidRDefault="00403CD6">
            <w:pPr>
              <w:jc w:val="right"/>
              <w:rPr>
                <w:rFonts w:ascii="Times New Roman" w:hAnsi="Times New Roman" w:cs="Times New Roman"/>
                <w:sz w:val="18"/>
                <w:szCs w:val="18"/>
              </w:rPr>
            </w:pPr>
          </w:p>
        </w:tc>
        <w:tc>
          <w:tcPr>
            <w:tcW w:w="100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63,432,450.00</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999"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99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63,432,450.00</w:t>
            </w:r>
          </w:p>
        </w:tc>
        <w:tc>
          <w:tcPr>
            <w:tcW w:w="1000" w:type="pct"/>
            <w:shd w:val="clear" w:color="auto" w:fill="auto"/>
            <w:vAlign w:val="center"/>
          </w:tcPr>
          <w:p w:rsidR="00403CD6" w:rsidRDefault="00403CD6">
            <w:pPr>
              <w:jc w:val="right"/>
              <w:rPr>
                <w:rFonts w:ascii="Times New Roman" w:hAnsi="Times New Roman" w:cs="Times New Roman"/>
                <w:sz w:val="18"/>
                <w:szCs w:val="18"/>
              </w:rPr>
            </w:pPr>
          </w:p>
        </w:tc>
        <w:tc>
          <w:tcPr>
            <w:tcW w:w="100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63,432,450.00</w:t>
            </w:r>
          </w:p>
        </w:tc>
        <w:tc>
          <w:tcPr>
            <w:tcW w:w="1000" w:type="pct"/>
            <w:vAlign w:val="center"/>
          </w:tcPr>
          <w:p w:rsidR="00403CD6" w:rsidRDefault="00403CD6">
            <w:pPr>
              <w:spacing w:line="240" w:lineRule="exact"/>
              <w:jc w:val="right"/>
              <w:rPr>
                <w:rFonts w:ascii="Times New Roman" w:eastAsia="宋体" w:hAnsi="Times New Roman" w:cs="Times New Roman"/>
                <w:sz w:val="18"/>
                <w:szCs w:val="18"/>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说明：因未到达解锁条件，本公司回购了部分限售股，对应冲减库存股</w:t>
      </w:r>
      <w:r>
        <w:rPr>
          <w:rFonts w:ascii="Times New Roman" w:eastAsia="宋体" w:hAnsi="Times New Roman" w:cs="Times New Roman"/>
          <w:sz w:val="18"/>
          <w:szCs w:val="18"/>
        </w:rPr>
        <w:t>63,432,450.00</w:t>
      </w:r>
      <w:r>
        <w:rPr>
          <w:rFonts w:ascii="宋体" w:eastAsia="宋体" w:hAnsi="宋体" w:cs="宋体" w:hint="eastAsia"/>
          <w:sz w:val="18"/>
          <w:szCs w:val="18"/>
        </w:rPr>
        <w:t>元。</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43、其他综合收益</w:t>
      </w:r>
    </w:p>
    <w:p w:rsidR="00403CD6" w:rsidRDefault="00E91A59">
      <w:pPr>
        <w:snapToGrid w:val="0"/>
        <w:spacing w:beforeLines="50" w:before="156" w:afterLines="90" w:after="280"/>
        <w:rPr>
          <w:rFonts w:ascii="Times New Roman" w:hAnsi="Times New Roman" w:cs="Times New Roman"/>
          <w:sz w:val="18"/>
          <w:szCs w:val="18"/>
        </w:rPr>
      </w:pPr>
      <w:r>
        <w:rPr>
          <w:rFonts w:ascii="Times New Roman" w:hAnsi="Times New Roman" w:cs="Times New Roman"/>
          <w:sz w:val="18"/>
          <w:szCs w:val="18"/>
        </w:rPr>
        <w:t>资产负债表中归属于母公司的其他综合收益：</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2"/>
        <w:gridCol w:w="1680"/>
        <w:gridCol w:w="1668"/>
        <w:gridCol w:w="1667"/>
        <w:gridCol w:w="1446"/>
      </w:tblGrid>
      <w:tr w:rsidR="00403CD6">
        <w:trPr>
          <w:trHeight w:val="240"/>
        </w:trPr>
        <w:tc>
          <w:tcPr>
            <w:tcW w:w="1720" w:type="pct"/>
            <w:vMerge w:val="restar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项目</w:t>
            </w:r>
          </w:p>
        </w:tc>
        <w:tc>
          <w:tcPr>
            <w:tcW w:w="852" w:type="pct"/>
            <w:vMerge w:val="restar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期初余额</w:t>
            </w:r>
          </w:p>
        </w:tc>
        <w:tc>
          <w:tcPr>
            <w:tcW w:w="1692" w:type="pct"/>
            <w:gridSpan w:val="2"/>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本期发生额</w:t>
            </w:r>
          </w:p>
        </w:tc>
        <w:tc>
          <w:tcPr>
            <w:tcW w:w="734" w:type="pct"/>
            <w:vMerge w:val="restar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期末余额</w:t>
            </w:r>
          </w:p>
        </w:tc>
      </w:tr>
      <w:tr w:rsidR="00403CD6">
        <w:trPr>
          <w:trHeight w:val="240"/>
        </w:trPr>
        <w:tc>
          <w:tcPr>
            <w:tcW w:w="1720" w:type="pct"/>
            <w:vMerge/>
            <w:shd w:val="clear" w:color="auto" w:fill="D3D3D3"/>
            <w:vAlign w:val="center"/>
          </w:tcPr>
          <w:p w:rsidR="00403CD6" w:rsidRDefault="00403CD6">
            <w:pPr>
              <w:rPr>
                <w:rFonts w:ascii="Times New Roman" w:hAnsi="Times New Roman" w:cs="Times New Roman"/>
              </w:rPr>
            </w:pPr>
          </w:p>
        </w:tc>
        <w:tc>
          <w:tcPr>
            <w:tcW w:w="852" w:type="pct"/>
            <w:vMerge/>
            <w:shd w:val="clear" w:color="auto" w:fill="D3D3D3"/>
            <w:vAlign w:val="center"/>
          </w:tcPr>
          <w:p w:rsidR="00403CD6" w:rsidRDefault="00403CD6">
            <w:pPr>
              <w:rPr>
                <w:rFonts w:ascii="Times New Roman" w:hAnsi="Times New Roman" w:cs="Times New Roman"/>
              </w:rPr>
            </w:pPr>
          </w:p>
        </w:tc>
        <w:tc>
          <w:tcPr>
            <w:tcW w:w="846"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税后归属于母公司</w:t>
            </w:r>
          </w:p>
        </w:tc>
        <w:tc>
          <w:tcPr>
            <w:tcW w:w="845"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减：前期计入其他综合收益当期转入留存收益</w:t>
            </w:r>
          </w:p>
        </w:tc>
        <w:tc>
          <w:tcPr>
            <w:tcW w:w="734" w:type="pct"/>
            <w:vMerge/>
            <w:shd w:val="clear" w:color="auto" w:fill="D3D3D3"/>
            <w:vAlign w:val="center"/>
          </w:tcPr>
          <w:p w:rsidR="00403CD6" w:rsidRDefault="00403CD6">
            <w:pPr>
              <w:spacing w:before="40" w:after="40" w:line="240" w:lineRule="exact"/>
              <w:jc w:val="center"/>
              <w:rPr>
                <w:rFonts w:ascii="Times New Roman" w:hAnsi="Times New Roman" w:cs="Times New Roman"/>
                <w:sz w:val="18"/>
                <w:szCs w:val="18"/>
              </w:rPr>
            </w:pPr>
          </w:p>
        </w:tc>
      </w:tr>
      <w:tr w:rsidR="00403CD6">
        <w:trPr>
          <w:trHeight w:val="240"/>
        </w:trPr>
        <w:tc>
          <w:tcPr>
            <w:tcW w:w="1720"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一、不能重分类进损益的其他综合收益</w:t>
            </w:r>
          </w:p>
        </w:tc>
        <w:tc>
          <w:tcPr>
            <w:tcW w:w="852" w:type="pct"/>
            <w:vAlign w:val="center"/>
          </w:tcPr>
          <w:p w:rsidR="00403CD6" w:rsidRDefault="00403CD6">
            <w:pPr>
              <w:spacing w:line="240" w:lineRule="exact"/>
              <w:jc w:val="right"/>
              <w:rPr>
                <w:rFonts w:ascii="Times New Roman" w:hAnsi="Times New Roman" w:cs="Times New Roman"/>
                <w:sz w:val="18"/>
                <w:szCs w:val="18"/>
              </w:rPr>
            </w:pPr>
          </w:p>
        </w:tc>
        <w:tc>
          <w:tcPr>
            <w:tcW w:w="846" w:type="pct"/>
            <w:vAlign w:val="center"/>
          </w:tcPr>
          <w:p w:rsidR="00403CD6" w:rsidRDefault="00403CD6">
            <w:pPr>
              <w:spacing w:line="240" w:lineRule="exact"/>
              <w:jc w:val="right"/>
              <w:rPr>
                <w:rFonts w:ascii="Times New Roman" w:hAnsi="Times New Roman" w:cs="Times New Roman"/>
                <w:sz w:val="18"/>
                <w:szCs w:val="18"/>
              </w:rPr>
            </w:pPr>
          </w:p>
        </w:tc>
        <w:tc>
          <w:tcPr>
            <w:tcW w:w="845" w:type="pct"/>
            <w:vAlign w:val="center"/>
          </w:tcPr>
          <w:p w:rsidR="00403CD6" w:rsidRDefault="00403CD6">
            <w:pPr>
              <w:spacing w:line="240" w:lineRule="exact"/>
              <w:jc w:val="right"/>
              <w:rPr>
                <w:rFonts w:ascii="Times New Roman" w:hAnsi="Times New Roman" w:cs="Times New Roman"/>
                <w:sz w:val="18"/>
                <w:szCs w:val="18"/>
              </w:rPr>
            </w:pPr>
          </w:p>
        </w:tc>
        <w:tc>
          <w:tcPr>
            <w:tcW w:w="734"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40"/>
        </w:trPr>
        <w:tc>
          <w:tcPr>
            <w:tcW w:w="1720"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二、将重分类进损益的其他综合收益</w:t>
            </w:r>
          </w:p>
        </w:tc>
        <w:tc>
          <w:tcPr>
            <w:tcW w:w="852"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-864,881,489.08</w:t>
            </w:r>
          </w:p>
        </w:tc>
        <w:tc>
          <w:tcPr>
            <w:tcW w:w="84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-48,827,181.07</w:t>
            </w:r>
          </w:p>
        </w:tc>
        <w:tc>
          <w:tcPr>
            <w:tcW w:w="845"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3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-913,708,670.15</w:t>
            </w:r>
          </w:p>
        </w:tc>
      </w:tr>
      <w:tr w:rsidR="00403CD6">
        <w:trPr>
          <w:trHeight w:val="240"/>
        </w:trPr>
        <w:tc>
          <w:tcPr>
            <w:tcW w:w="1720"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sz w:val="18"/>
                <w:szCs w:val="18"/>
              </w:rPr>
              <w:t>权益法下可转损益的其他综合收益</w:t>
            </w:r>
          </w:p>
        </w:tc>
        <w:tc>
          <w:tcPr>
            <w:tcW w:w="852"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-11,140,109.71</w:t>
            </w:r>
          </w:p>
        </w:tc>
        <w:tc>
          <w:tcPr>
            <w:tcW w:w="84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6,370,472.83</w:t>
            </w:r>
          </w:p>
        </w:tc>
        <w:tc>
          <w:tcPr>
            <w:tcW w:w="845"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3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-4,769,636.88</w:t>
            </w:r>
          </w:p>
        </w:tc>
      </w:tr>
      <w:tr w:rsidR="00403CD6">
        <w:trPr>
          <w:trHeight w:val="240"/>
        </w:trPr>
        <w:tc>
          <w:tcPr>
            <w:tcW w:w="1720"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2.</w:t>
            </w:r>
            <w:r>
              <w:rPr>
                <w:rFonts w:ascii="Times New Roman" w:hAnsi="Times New Roman" w:cs="Times New Roman"/>
                <w:sz w:val="18"/>
                <w:szCs w:val="18"/>
              </w:rPr>
              <w:t>外币财务报表折算差额</w:t>
            </w:r>
          </w:p>
        </w:tc>
        <w:tc>
          <w:tcPr>
            <w:tcW w:w="852"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-853,741,379.37</w:t>
            </w:r>
          </w:p>
        </w:tc>
        <w:tc>
          <w:tcPr>
            <w:tcW w:w="84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-55,197,653.90</w:t>
            </w:r>
          </w:p>
        </w:tc>
        <w:tc>
          <w:tcPr>
            <w:tcW w:w="845"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3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-908,939,033.27</w:t>
            </w:r>
          </w:p>
        </w:tc>
      </w:tr>
      <w:tr w:rsidR="00403CD6">
        <w:trPr>
          <w:trHeight w:val="240"/>
        </w:trPr>
        <w:tc>
          <w:tcPr>
            <w:tcW w:w="1720"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其他综合收益合计</w:t>
            </w:r>
          </w:p>
        </w:tc>
        <w:tc>
          <w:tcPr>
            <w:tcW w:w="852"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-864,881,489.08</w:t>
            </w:r>
          </w:p>
        </w:tc>
        <w:tc>
          <w:tcPr>
            <w:tcW w:w="846"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-48,827,181.07</w:t>
            </w:r>
          </w:p>
        </w:tc>
        <w:tc>
          <w:tcPr>
            <w:tcW w:w="845"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73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-913,708,670.15</w:t>
            </w:r>
          </w:p>
        </w:tc>
      </w:tr>
    </w:tbl>
    <w:p w:rsidR="00403CD6" w:rsidRDefault="00E91A59">
      <w:pPr>
        <w:snapToGrid w:val="0"/>
        <w:spacing w:beforeLines="50" w:before="156" w:afterLines="90" w:after="280"/>
        <w:rPr>
          <w:rFonts w:ascii="Times New Roman" w:hAnsi="Times New Roman" w:cs="Times New Roman"/>
          <w:sz w:val="18"/>
          <w:szCs w:val="18"/>
        </w:rPr>
      </w:pPr>
      <w:r>
        <w:rPr>
          <w:rFonts w:ascii="Times New Roman" w:hAnsi="Times New Roman" w:cs="Times New Roman"/>
          <w:sz w:val="18"/>
          <w:szCs w:val="18"/>
        </w:rPr>
        <w:t>利润表中归属于母公司的其他综合收益：</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1523"/>
        <w:gridCol w:w="1419"/>
        <w:gridCol w:w="849"/>
        <w:gridCol w:w="1423"/>
        <w:gridCol w:w="1519"/>
      </w:tblGrid>
      <w:tr w:rsidR="00403CD6">
        <w:trPr>
          <w:trHeight w:val="240"/>
        </w:trPr>
        <w:tc>
          <w:tcPr>
            <w:tcW w:w="1583" w:type="pct"/>
            <w:vMerge w:val="restar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项目</w:t>
            </w:r>
          </w:p>
        </w:tc>
        <w:tc>
          <w:tcPr>
            <w:tcW w:w="3417" w:type="pct"/>
            <w:gridSpan w:val="5"/>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本期发生额</w:t>
            </w:r>
          </w:p>
        </w:tc>
      </w:tr>
      <w:tr w:rsidR="00403CD6">
        <w:trPr>
          <w:trHeight w:val="240"/>
        </w:trPr>
        <w:tc>
          <w:tcPr>
            <w:tcW w:w="1583" w:type="pct"/>
            <w:vMerge/>
            <w:shd w:val="clear" w:color="auto" w:fill="D3D3D3"/>
            <w:vAlign w:val="center"/>
          </w:tcPr>
          <w:p w:rsidR="00403CD6" w:rsidRDefault="00403CD6">
            <w:pPr>
              <w:rPr>
                <w:rFonts w:ascii="Times New Roman" w:hAnsi="Times New Roman" w:cs="Times New Roman"/>
              </w:rPr>
            </w:pPr>
          </w:p>
        </w:tc>
        <w:tc>
          <w:tcPr>
            <w:tcW w:w="773"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本期所得税前发生额</w:t>
            </w:r>
          </w:p>
        </w:tc>
        <w:tc>
          <w:tcPr>
            <w:tcW w:w="72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减：前期计入其他综合收益当期转入损益</w:t>
            </w:r>
          </w:p>
        </w:tc>
        <w:tc>
          <w:tcPr>
            <w:tcW w:w="431"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减：所得税费用</w:t>
            </w:r>
          </w:p>
        </w:tc>
        <w:tc>
          <w:tcPr>
            <w:tcW w:w="722"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减：税后归属于少数股东</w:t>
            </w:r>
          </w:p>
        </w:tc>
        <w:tc>
          <w:tcPr>
            <w:tcW w:w="771" w:type="pct"/>
            <w:shd w:val="clear" w:color="auto" w:fill="D3D3D3"/>
            <w:vAlign w:val="center"/>
          </w:tcPr>
          <w:p w:rsidR="00403CD6" w:rsidRDefault="00E91A59">
            <w:pPr>
              <w:jc w:val="center"/>
              <w:rPr>
                <w:rFonts w:ascii="Times New Roman" w:hAnsi="Times New Roman" w:cs="Times New Roman"/>
              </w:rPr>
            </w:pPr>
            <w:r>
              <w:rPr>
                <w:rFonts w:ascii="Times New Roman" w:hAnsi="Times New Roman" w:cs="Times New Roman"/>
                <w:sz w:val="18"/>
                <w:szCs w:val="18"/>
              </w:rPr>
              <w:t>税后归属于母公司</w:t>
            </w:r>
          </w:p>
        </w:tc>
      </w:tr>
      <w:tr w:rsidR="00403CD6">
        <w:trPr>
          <w:trHeight w:val="240"/>
        </w:trPr>
        <w:tc>
          <w:tcPr>
            <w:tcW w:w="1583"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一、不能重分类进损益的其他综合收益</w:t>
            </w:r>
          </w:p>
        </w:tc>
        <w:tc>
          <w:tcPr>
            <w:tcW w:w="773" w:type="pct"/>
            <w:vAlign w:val="center"/>
          </w:tcPr>
          <w:p w:rsidR="00403CD6" w:rsidRDefault="00403CD6">
            <w:pPr>
              <w:spacing w:line="240" w:lineRule="exact"/>
              <w:jc w:val="right"/>
              <w:rPr>
                <w:rFonts w:ascii="Times New Roman" w:hAnsi="Times New Roman" w:cs="Times New Roman"/>
                <w:sz w:val="18"/>
                <w:szCs w:val="18"/>
              </w:rPr>
            </w:pPr>
          </w:p>
        </w:tc>
        <w:tc>
          <w:tcPr>
            <w:tcW w:w="720" w:type="pct"/>
            <w:vAlign w:val="center"/>
          </w:tcPr>
          <w:p w:rsidR="00403CD6" w:rsidRDefault="00403CD6">
            <w:pPr>
              <w:spacing w:line="240" w:lineRule="exact"/>
              <w:jc w:val="right"/>
              <w:rPr>
                <w:rFonts w:ascii="Times New Roman" w:hAnsi="Times New Roman" w:cs="Times New Roman"/>
                <w:sz w:val="18"/>
                <w:szCs w:val="18"/>
              </w:rPr>
            </w:pPr>
          </w:p>
        </w:tc>
        <w:tc>
          <w:tcPr>
            <w:tcW w:w="431" w:type="pct"/>
            <w:vAlign w:val="center"/>
          </w:tcPr>
          <w:p w:rsidR="00403CD6" w:rsidRDefault="00403CD6">
            <w:pPr>
              <w:spacing w:line="240" w:lineRule="exact"/>
              <w:jc w:val="right"/>
              <w:rPr>
                <w:rFonts w:ascii="Times New Roman" w:hAnsi="Times New Roman" w:cs="Times New Roman"/>
                <w:sz w:val="18"/>
                <w:szCs w:val="18"/>
              </w:rPr>
            </w:pPr>
          </w:p>
        </w:tc>
        <w:tc>
          <w:tcPr>
            <w:tcW w:w="722" w:type="pct"/>
            <w:vAlign w:val="center"/>
          </w:tcPr>
          <w:p w:rsidR="00403CD6" w:rsidRDefault="00403CD6">
            <w:pPr>
              <w:spacing w:line="240" w:lineRule="exact"/>
              <w:jc w:val="right"/>
              <w:rPr>
                <w:rFonts w:ascii="Times New Roman" w:hAnsi="Times New Roman" w:cs="Times New Roman"/>
                <w:sz w:val="18"/>
                <w:szCs w:val="18"/>
              </w:rPr>
            </w:pPr>
          </w:p>
        </w:tc>
        <w:tc>
          <w:tcPr>
            <w:tcW w:w="771"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90"/>
        </w:trPr>
        <w:tc>
          <w:tcPr>
            <w:tcW w:w="1583"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二、将重分类进损益的其他综合收益</w:t>
            </w:r>
          </w:p>
        </w:tc>
        <w:tc>
          <w:tcPr>
            <w:tcW w:w="1523"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-48,827,181.07</w:t>
            </w:r>
          </w:p>
        </w:tc>
        <w:tc>
          <w:tcPr>
            <w:tcW w:w="1419" w:type="dxa"/>
            <w:vAlign w:val="center"/>
          </w:tcPr>
          <w:p w:rsidR="00403CD6" w:rsidRDefault="00403CD6">
            <w:pPr>
              <w:jc w:val="right"/>
              <w:rPr>
                <w:rFonts w:ascii="Times New Roman" w:hAnsi="Times New Roman" w:cs="Times New Roman"/>
                <w:sz w:val="18"/>
                <w:szCs w:val="18"/>
              </w:rPr>
            </w:pPr>
          </w:p>
        </w:tc>
        <w:tc>
          <w:tcPr>
            <w:tcW w:w="849" w:type="dxa"/>
            <w:vAlign w:val="center"/>
          </w:tcPr>
          <w:p w:rsidR="00403CD6" w:rsidRDefault="00403CD6">
            <w:pPr>
              <w:jc w:val="right"/>
              <w:rPr>
                <w:rFonts w:ascii="Times New Roman" w:hAnsi="Times New Roman" w:cs="Times New Roman"/>
                <w:sz w:val="18"/>
                <w:szCs w:val="18"/>
              </w:rPr>
            </w:pPr>
          </w:p>
        </w:tc>
        <w:tc>
          <w:tcPr>
            <w:tcW w:w="1423" w:type="dxa"/>
            <w:vAlign w:val="center"/>
          </w:tcPr>
          <w:p w:rsidR="00403CD6" w:rsidRDefault="00403CD6">
            <w:pPr>
              <w:jc w:val="right"/>
              <w:rPr>
                <w:rFonts w:ascii="Times New Roman" w:hAnsi="Times New Roman" w:cs="Times New Roman"/>
                <w:sz w:val="18"/>
                <w:szCs w:val="18"/>
              </w:rPr>
            </w:pPr>
          </w:p>
        </w:tc>
        <w:tc>
          <w:tcPr>
            <w:tcW w:w="1519"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-48,827,181.07</w:t>
            </w:r>
          </w:p>
        </w:tc>
      </w:tr>
      <w:tr w:rsidR="00403CD6">
        <w:trPr>
          <w:trHeight w:val="240"/>
        </w:trPr>
        <w:tc>
          <w:tcPr>
            <w:tcW w:w="1583"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sz w:val="18"/>
                <w:szCs w:val="18"/>
              </w:rPr>
              <w:t>权益法下可转损益的其他综合收益</w:t>
            </w:r>
          </w:p>
        </w:tc>
        <w:tc>
          <w:tcPr>
            <w:tcW w:w="1523"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6,370,472.83</w:t>
            </w:r>
          </w:p>
        </w:tc>
        <w:tc>
          <w:tcPr>
            <w:tcW w:w="1419" w:type="dxa"/>
            <w:vAlign w:val="center"/>
          </w:tcPr>
          <w:p w:rsidR="00403CD6" w:rsidRDefault="00403CD6">
            <w:pPr>
              <w:jc w:val="right"/>
              <w:rPr>
                <w:rFonts w:ascii="Times New Roman" w:hAnsi="Times New Roman" w:cs="Times New Roman"/>
                <w:sz w:val="18"/>
                <w:szCs w:val="18"/>
              </w:rPr>
            </w:pPr>
          </w:p>
        </w:tc>
        <w:tc>
          <w:tcPr>
            <w:tcW w:w="849" w:type="dxa"/>
            <w:vAlign w:val="center"/>
          </w:tcPr>
          <w:p w:rsidR="00403CD6" w:rsidRDefault="00403CD6">
            <w:pPr>
              <w:jc w:val="right"/>
              <w:rPr>
                <w:rFonts w:ascii="Times New Roman" w:hAnsi="Times New Roman" w:cs="Times New Roman"/>
                <w:sz w:val="18"/>
                <w:szCs w:val="18"/>
              </w:rPr>
            </w:pPr>
          </w:p>
        </w:tc>
        <w:tc>
          <w:tcPr>
            <w:tcW w:w="1423" w:type="dxa"/>
            <w:vAlign w:val="center"/>
          </w:tcPr>
          <w:p w:rsidR="00403CD6" w:rsidRDefault="00403CD6">
            <w:pPr>
              <w:jc w:val="right"/>
              <w:rPr>
                <w:rFonts w:ascii="Times New Roman" w:hAnsi="Times New Roman" w:cs="Times New Roman"/>
                <w:sz w:val="18"/>
                <w:szCs w:val="18"/>
              </w:rPr>
            </w:pPr>
          </w:p>
        </w:tc>
        <w:tc>
          <w:tcPr>
            <w:tcW w:w="1519"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6,370,472.83</w:t>
            </w:r>
          </w:p>
        </w:tc>
      </w:tr>
      <w:tr w:rsidR="00403CD6">
        <w:trPr>
          <w:trHeight w:val="240"/>
        </w:trPr>
        <w:tc>
          <w:tcPr>
            <w:tcW w:w="1583"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2.</w:t>
            </w:r>
            <w:r>
              <w:rPr>
                <w:rFonts w:ascii="Times New Roman" w:hAnsi="Times New Roman" w:cs="Times New Roman"/>
                <w:sz w:val="18"/>
                <w:szCs w:val="18"/>
              </w:rPr>
              <w:t>外币财务报表折算差额</w:t>
            </w:r>
          </w:p>
        </w:tc>
        <w:tc>
          <w:tcPr>
            <w:tcW w:w="1523"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-55,197,653.90</w:t>
            </w:r>
          </w:p>
        </w:tc>
        <w:tc>
          <w:tcPr>
            <w:tcW w:w="1419" w:type="dxa"/>
            <w:vAlign w:val="center"/>
          </w:tcPr>
          <w:p w:rsidR="00403CD6" w:rsidRDefault="00403CD6">
            <w:pPr>
              <w:jc w:val="right"/>
              <w:rPr>
                <w:rFonts w:ascii="Times New Roman" w:hAnsi="Times New Roman" w:cs="Times New Roman"/>
                <w:sz w:val="18"/>
                <w:szCs w:val="18"/>
              </w:rPr>
            </w:pPr>
          </w:p>
        </w:tc>
        <w:tc>
          <w:tcPr>
            <w:tcW w:w="849" w:type="dxa"/>
            <w:vAlign w:val="center"/>
          </w:tcPr>
          <w:p w:rsidR="00403CD6" w:rsidRDefault="00403CD6">
            <w:pPr>
              <w:jc w:val="right"/>
              <w:rPr>
                <w:rFonts w:ascii="Times New Roman" w:hAnsi="Times New Roman" w:cs="Times New Roman"/>
                <w:sz w:val="18"/>
                <w:szCs w:val="18"/>
              </w:rPr>
            </w:pPr>
          </w:p>
        </w:tc>
        <w:tc>
          <w:tcPr>
            <w:tcW w:w="1423" w:type="dxa"/>
            <w:vAlign w:val="center"/>
          </w:tcPr>
          <w:p w:rsidR="00403CD6" w:rsidRDefault="00403CD6">
            <w:pPr>
              <w:jc w:val="right"/>
              <w:rPr>
                <w:rFonts w:ascii="Times New Roman" w:hAnsi="Times New Roman" w:cs="Times New Roman"/>
                <w:sz w:val="18"/>
                <w:szCs w:val="18"/>
              </w:rPr>
            </w:pPr>
          </w:p>
        </w:tc>
        <w:tc>
          <w:tcPr>
            <w:tcW w:w="1519"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-55,197,653.90</w:t>
            </w:r>
          </w:p>
        </w:tc>
      </w:tr>
      <w:tr w:rsidR="00403CD6">
        <w:trPr>
          <w:trHeight w:val="240"/>
        </w:trPr>
        <w:tc>
          <w:tcPr>
            <w:tcW w:w="1583" w:type="pct"/>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其他综合收益合计</w:t>
            </w:r>
          </w:p>
        </w:tc>
        <w:tc>
          <w:tcPr>
            <w:tcW w:w="1523"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-48,827,181.07</w:t>
            </w:r>
          </w:p>
        </w:tc>
        <w:tc>
          <w:tcPr>
            <w:tcW w:w="1419" w:type="dxa"/>
            <w:vAlign w:val="center"/>
          </w:tcPr>
          <w:p w:rsidR="00403CD6" w:rsidRDefault="00403CD6">
            <w:pPr>
              <w:jc w:val="right"/>
              <w:rPr>
                <w:rFonts w:ascii="Times New Roman" w:hAnsi="Times New Roman" w:cs="Times New Roman"/>
                <w:sz w:val="18"/>
                <w:szCs w:val="18"/>
              </w:rPr>
            </w:pPr>
          </w:p>
        </w:tc>
        <w:tc>
          <w:tcPr>
            <w:tcW w:w="849" w:type="dxa"/>
            <w:vAlign w:val="center"/>
          </w:tcPr>
          <w:p w:rsidR="00403CD6" w:rsidRDefault="00403CD6">
            <w:pPr>
              <w:jc w:val="right"/>
              <w:rPr>
                <w:rFonts w:ascii="Times New Roman" w:hAnsi="Times New Roman" w:cs="Times New Roman"/>
                <w:sz w:val="18"/>
                <w:szCs w:val="18"/>
              </w:rPr>
            </w:pPr>
          </w:p>
        </w:tc>
        <w:tc>
          <w:tcPr>
            <w:tcW w:w="1423" w:type="dxa"/>
            <w:vAlign w:val="center"/>
          </w:tcPr>
          <w:p w:rsidR="00403CD6" w:rsidRDefault="00403CD6">
            <w:pPr>
              <w:jc w:val="right"/>
              <w:rPr>
                <w:rFonts w:ascii="Times New Roman" w:hAnsi="Times New Roman" w:cs="Times New Roman"/>
                <w:sz w:val="18"/>
                <w:szCs w:val="18"/>
              </w:rPr>
            </w:pPr>
          </w:p>
        </w:tc>
        <w:tc>
          <w:tcPr>
            <w:tcW w:w="1519"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-48,827,181.07</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lastRenderedPageBreak/>
        <w:t>44、专项储备</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99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安全生产费</w:t>
            </w:r>
          </w:p>
        </w:tc>
        <w:tc>
          <w:tcPr>
            <w:tcW w:w="197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23,322,829.57</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19,870,503.88</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16,392,841.92</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26,800,491.53</w:t>
            </w:r>
          </w:p>
        </w:tc>
      </w:tr>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970"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23,322,829.57</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19,870,503.88</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16,392,841.92</w:t>
            </w:r>
          </w:p>
        </w:tc>
        <w:tc>
          <w:tcPr>
            <w:tcW w:w="1971"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26,800,491.53</w:t>
            </w:r>
          </w:p>
        </w:tc>
      </w:tr>
    </w:tbl>
    <w:p w:rsidR="00403CD6" w:rsidRDefault="00E91A59">
      <w:pPr>
        <w:keepNext/>
        <w:keepLines/>
        <w:spacing w:before="300" w:after="300" w:line="280" w:lineRule="exact"/>
        <w:outlineLvl w:val="2"/>
        <w:rPr>
          <w:rFonts w:ascii="宋体" w:eastAsia="宋体" w:hAnsi="宋体" w:cs="宋体"/>
          <w:b/>
          <w:bCs/>
          <w:szCs w:val="21"/>
        </w:rPr>
      </w:pPr>
      <w:bookmarkStart w:id="95" w:name="_Toc989370"/>
      <w:r>
        <w:rPr>
          <w:rFonts w:ascii="宋体" w:eastAsia="宋体" w:hAnsi="宋体" w:cs="宋体" w:hint="eastAsia"/>
          <w:b/>
          <w:bCs/>
          <w:szCs w:val="21"/>
        </w:rPr>
        <w:t>45、盈余公积</w:t>
      </w:r>
      <w:bookmarkEnd w:id="95"/>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1970"/>
        <w:gridCol w:w="1971"/>
        <w:gridCol w:w="1971"/>
        <w:gridCol w:w="1971"/>
      </w:tblGrid>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10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99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法定盈余公积</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1,212,009,109.97</w:t>
            </w:r>
          </w:p>
        </w:tc>
        <w:tc>
          <w:tcPr>
            <w:tcW w:w="1971" w:type="dxa"/>
            <w:vAlign w:val="center"/>
          </w:tcPr>
          <w:p w:rsidR="00403CD6" w:rsidRDefault="00403CD6">
            <w:pPr>
              <w:jc w:val="right"/>
              <w:rPr>
                <w:rFonts w:ascii="Times New Roman" w:eastAsia="宋体" w:hAnsi="Times New Roman" w:cs="Times New Roman"/>
                <w:sz w:val="18"/>
                <w:szCs w:val="18"/>
              </w:rPr>
            </w:pPr>
          </w:p>
        </w:tc>
        <w:tc>
          <w:tcPr>
            <w:tcW w:w="1972" w:type="dxa"/>
            <w:vAlign w:val="center"/>
          </w:tcPr>
          <w:p w:rsidR="00403CD6" w:rsidRDefault="00403CD6">
            <w:pPr>
              <w:jc w:val="right"/>
              <w:rPr>
                <w:rFonts w:ascii="Times New Roman" w:eastAsia="宋体" w:hAnsi="Times New Roman" w:cs="Times New Roman"/>
                <w:sz w:val="18"/>
                <w:szCs w:val="18"/>
              </w:rPr>
            </w:pP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1,212,009,109.97</w:t>
            </w:r>
          </w:p>
        </w:tc>
      </w:tr>
      <w:tr w:rsidR="00403CD6">
        <w:trPr>
          <w:trHeight w:val="284"/>
        </w:trPr>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969"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1,212,009,109.97</w:t>
            </w:r>
          </w:p>
        </w:tc>
        <w:tc>
          <w:tcPr>
            <w:tcW w:w="1971" w:type="dxa"/>
            <w:vAlign w:val="center"/>
          </w:tcPr>
          <w:p w:rsidR="00403CD6" w:rsidRDefault="00403CD6">
            <w:pPr>
              <w:jc w:val="right"/>
              <w:rPr>
                <w:rFonts w:ascii="Times New Roman" w:eastAsia="宋体" w:hAnsi="Times New Roman" w:cs="Times New Roman"/>
                <w:sz w:val="18"/>
                <w:szCs w:val="18"/>
              </w:rPr>
            </w:pPr>
          </w:p>
        </w:tc>
        <w:tc>
          <w:tcPr>
            <w:tcW w:w="1972" w:type="dxa"/>
            <w:vAlign w:val="center"/>
          </w:tcPr>
          <w:p w:rsidR="00403CD6" w:rsidRDefault="00403CD6">
            <w:pPr>
              <w:jc w:val="right"/>
              <w:rPr>
                <w:rFonts w:ascii="Times New Roman" w:eastAsia="宋体" w:hAnsi="Times New Roman" w:cs="Times New Roman"/>
                <w:sz w:val="18"/>
                <w:szCs w:val="18"/>
              </w:rPr>
            </w:pPr>
          </w:p>
        </w:tc>
        <w:tc>
          <w:tcPr>
            <w:tcW w:w="1972"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1,212,009,109.97</w:t>
            </w:r>
          </w:p>
        </w:tc>
      </w:tr>
    </w:tbl>
    <w:p w:rsidR="00403CD6" w:rsidRDefault="00E91A59">
      <w:pPr>
        <w:keepNext/>
        <w:keepLines/>
        <w:spacing w:before="300" w:after="300" w:line="280" w:lineRule="exact"/>
        <w:outlineLvl w:val="2"/>
        <w:rPr>
          <w:rFonts w:ascii="宋体" w:eastAsia="宋体" w:hAnsi="宋体" w:cs="宋体"/>
          <w:b/>
          <w:bCs/>
          <w:szCs w:val="21"/>
        </w:rPr>
      </w:pPr>
      <w:bookmarkStart w:id="96" w:name="_Toc989371"/>
      <w:r>
        <w:rPr>
          <w:rFonts w:ascii="宋体" w:eastAsia="宋体" w:hAnsi="宋体" w:cs="宋体" w:hint="eastAsia"/>
          <w:b/>
          <w:bCs/>
          <w:szCs w:val="21"/>
        </w:rPr>
        <w:t>46、一般风险准备</w:t>
      </w:r>
    </w:p>
    <w:p w:rsidR="00403CD6" w:rsidRDefault="00E91A59">
      <w:pPr>
        <w:pStyle w:val="a0"/>
        <w:jc w:val="right"/>
      </w:pPr>
      <w:r>
        <w:rPr>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1932"/>
        <w:gridCol w:w="1932"/>
        <w:gridCol w:w="1931"/>
        <w:gridCol w:w="1931"/>
        <w:gridCol w:w="1931"/>
      </w:tblGrid>
      <w:tr w:rsidR="00403CD6">
        <w:trPr>
          <w:trHeight w:val="284"/>
        </w:trPr>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项目</w:t>
            </w:r>
          </w:p>
        </w:tc>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期初余额</w:t>
            </w:r>
          </w:p>
        </w:tc>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本期增加</w:t>
            </w:r>
          </w:p>
        </w:tc>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本期减少</w:t>
            </w:r>
          </w:p>
        </w:tc>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期末余额</w:t>
            </w:r>
          </w:p>
        </w:tc>
      </w:tr>
      <w:tr w:rsidR="00403CD6">
        <w:trPr>
          <w:trHeight w:val="284"/>
        </w:trPr>
        <w:tc>
          <w:tcPr>
            <w:tcW w:w="1000" w:type="pct"/>
            <w:shd w:val="clear" w:color="auto" w:fill="D9D9D9"/>
            <w:vAlign w:val="center"/>
          </w:tcPr>
          <w:p w:rsidR="00403CD6" w:rsidRDefault="00E91A59">
            <w:pPr>
              <w:autoSpaceDE w:val="0"/>
              <w:autoSpaceDN w:val="0"/>
              <w:adjustRightInd w:val="0"/>
              <w:rPr>
                <w:rFonts w:ascii="Times New Roman" w:hAnsi="Times New Roman" w:cs="Times New Roman"/>
                <w:kern w:val="0"/>
                <w:sz w:val="18"/>
                <w:szCs w:val="18"/>
                <w:lang w:val="zh-CN"/>
              </w:rPr>
            </w:pPr>
            <w:r>
              <w:rPr>
                <w:rFonts w:ascii="Times New Roman" w:hAnsi="Times New Roman" w:cs="Times New Roman"/>
                <w:kern w:val="0"/>
                <w:sz w:val="18"/>
                <w:szCs w:val="18"/>
                <w:lang w:val="zh-CN"/>
              </w:rPr>
              <w:t>一般风险准备</w:t>
            </w: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eastAsia="仿宋_GB2312" w:hAnsi="Times New Roman" w:cs="Times New Roman"/>
                <w:sz w:val="18"/>
                <w:szCs w:val="18"/>
              </w:rPr>
              <w:t>79,370,294.91</w:t>
            </w: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hAnsi="Times New Roman" w:cs="Times New Roman"/>
                <w:sz w:val="18"/>
                <w:szCs w:val="18"/>
              </w:rPr>
              <w:t>1,580,289.20</w:t>
            </w:r>
          </w:p>
        </w:tc>
        <w:tc>
          <w:tcPr>
            <w:tcW w:w="1000" w:type="pct"/>
            <w:vAlign w:val="center"/>
          </w:tcPr>
          <w:p w:rsidR="00403CD6" w:rsidRDefault="00403CD6">
            <w:pPr>
              <w:autoSpaceDE w:val="0"/>
              <w:autoSpaceDN w:val="0"/>
              <w:adjustRightInd w:val="0"/>
              <w:jc w:val="right"/>
              <w:rPr>
                <w:rFonts w:ascii="Times New Roman" w:hAnsi="Times New Roman" w:cs="Times New Roman"/>
                <w:kern w:val="0"/>
                <w:sz w:val="18"/>
                <w:szCs w:val="18"/>
                <w:lang w:val="zh-CN"/>
              </w:rPr>
            </w:pP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hAnsi="Times New Roman" w:cs="Times New Roman"/>
                <w:sz w:val="18"/>
                <w:szCs w:val="18"/>
              </w:rPr>
              <w:t>80,950,584.11</w:t>
            </w:r>
          </w:p>
        </w:tc>
      </w:tr>
      <w:tr w:rsidR="00403CD6">
        <w:trPr>
          <w:trHeight w:val="284"/>
        </w:trPr>
        <w:tc>
          <w:tcPr>
            <w:tcW w:w="1000" w:type="pct"/>
            <w:shd w:val="clear" w:color="auto" w:fill="D9D9D9"/>
          </w:tcPr>
          <w:p w:rsidR="00403CD6" w:rsidRDefault="00E91A59">
            <w:pPr>
              <w:autoSpaceDE w:val="0"/>
              <w:autoSpaceDN w:val="0"/>
              <w:adjustRightInd w:val="0"/>
              <w:jc w:val="center"/>
              <w:rPr>
                <w:rFonts w:ascii="Times New Roman" w:hAnsi="Times New Roman" w:cs="Times New Roman"/>
                <w:kern w:val="0"/>
                <w:sz w:val="18"/>
                <w:szCs w:val="18"/>
                <w:lang w:val="zh-CN"/>
              </w:rPr>
            </w:pPr>
            <w:r>
              <w:rPr>
                <w:rFonts w:ascii="Times New Roman" w:hAnsi="Times New Roman" w:cs="Times New Roman"/>
                <w:kern w:val="0"/>
                <w:sz w:val="18"/>
                <w:szCs w:val="18"/>
                <w:lang w:val="zh-CN"/>
              </w:rPr>
              <w:t>合计</w:t>
            </w: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eastAsia="仿宋_GB2312" w:hAnsi="Times New Roman" w:cs="Times New Roman"/>
                <w:sz w:val="18"/>
                <w:szCs w:val="18"/>
              </w:rPr>
              <w:t>79,370,294.91</w:t>
            </w: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hAnsi="Times New Roman" w:cs="Times New Roman"/>
                <w:sz w:val="18"/>
                <w:szCs w:val="18"/>
              </w:rPr>
              <w:t>1,580,289.20</w:t>
            </w:r>
          </w:p>
        </w:tc>
        <w:tc>
          <w:tcPr>
            <w:tcW w:w="1000" w:type="pct"/>
            <w:vAlign w:val="center"/>
          </w:tcPr>
          <w:p w:rsidR="00403CD6" w:rsidRDefault="00403CD6">
            <w:pPr>
              <w:autoSpaceDE w:val="0"/>
              <w:autoSpaceDN w:val="0"/>
              <w:adjustRightInd w:val="0"/>
              <w:jc w:val="right"/>
              <w:rPr>
                <w:rFonts w:ascii="Times New Roman" w:hAnsi="Times New Roman" w:cs="Times New Roman"/>
                <w:kern w:val="0"/>
                <w:sz w:val="18"/>
                <w:szCs w:val="18"/>
                <w:lang w:val="zh-CN"/>
              </w:rPr>
            </w:pPr>
          </w:p>
        </w:tc>
        <w:tc>
          <w:tcPr>
            <w:tcW w:w="1000" w:type="pct"/>
            <w:vAlign w:val="center"/>
          </w:tcPr>
          <w:p w:rsidR="00403CD6" w:rsidRDefault="00E91A59">
            <w:pPr>
              <w:autoSpaceDE w:val="0"/>
              <w:autoSpaceDN w:val="0"/>
              <w:adjustRightInd w:val="0"/>
              <w:jc w:val="right"/>
              <w:rPr>
                <w:rFonts w:ascii="Times New Roman" w:hAnsi="Times New Roman" w:cs="Times New Roman"/>
                <w:kern w:val="0"/>
                <w:sz w:val="18"/>
                <w:szCs w:val="18"/>
                <w:lang w:val="zh-CN"/>
              </w:rPr>
            </w:pPr>
            <w:r>
              <w:rPr>
                <w:rFonts w:ascii="Times New Roman" w:hAnsi="Times New Roman" w:cs="Times New Roman"/>
                <w:sz w:val="18"/>
                <w:szCs w:val="18"/>
              </w:rPr>
              <w:t>80,950,584.11</w:t>
            </w:r>
          </w:p>
        </w:tc>
      </w:tr>
    </w:tbl>
    <w:p w:rsidR="00403CD6" w:rsidRDefault="00E91A59">
      <w:pPr>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bCs/>
          <w:sz w:val="18"/>
          <w:szCs w:val="18"/>
        </w:rPr>
        <w:t>说明：一般风险准备为本公司之子公司山东晨鸣集团财务有限公司和山东晨</w:t>
      </w:r>
      <w:proofErr w:type="gramStart"/>
      <w:r>
        <w:rPr>
          <w:rFonts w:asciiTheme="minorEastAsia" w:hAnsiTheme="minorEastAsia" w:cstheme="minorEastAsia" w:hint="eastAsia"/>
          <w:bCs/>
          <w:sz w:val="18"/>
          <w:szCs w:val="18"/>
        </w:rPr>
        <w:t>鸣商业保理</w:t>
      </w:r>
      <w:proofErr w:type="gramEnd"/>
      <w:r>
        <w:rPr>
          <w:rFonts w:asciiTheme="minorEastAsia" w:hAnsiTheme="minorEastAsia" w:cstheme="minorEastAsia" w:hint="eastAsia"/>
          <w:bCs/>
          <w:sz w:val="18"/>
          <w:szCs w:val="18"/>
        </w:rPr>
        <w:t>有限公司根据应收款项余额的1%计提，因此根据应收款项的余额调整一般风险准备的余额。</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47、未分配利润</w:t>
      </w:r>
      <w:bookmarkEnd w:id="96"/>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89"/>
        <w:gridCol w:w="2887"/>
      </w:tblGrid>
      <w:tr w:rsidR="00403CD6">
        <w:trPr>
          <w:trHeight w:val="284"/>
        </w:trPr>
        <w:tc>
          <w:tcPr>
            <w:tcW w:w="206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4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w:t>
            </w:r>
          </w:p>
        </w:tc>
        <w:tc>
          <w:tcPr>
            <w:tcW w:w="14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w:t>
            </w: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调整前上期末未分配利润</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8,020,182,801.55</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9,390,642,477.57</w:t>
            </w: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调整期初未分配利润合计数（调增</w:t>
            </w:r>
            <w:r>
              <w:rPr>
                <w:rFonts w:ascii="Times New Roman" w:eastAsia="宋体" w:hAnsi="Times New Roman" w:cs="Times New Roman"/>
                <w:sz w:val="18"/>
                <w:szCs w:val="18"/>
              </w:rPr>
              <w:t>+</w:t>
            </w:r>
            <w:r>
              <w:rPr>
                <w:rFonts w:ascii="Times New Roman" w:eastAsia="宋体" w:hAnsi="Times New Roman" w:cs="Times New Roman"/>
                <w:sz w:val="18"/>
                <w:szCs w:val="18"/>
              </w:rPr>
              <w:t>，调减</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1466" w:type="pct"/>
            <w:vAlign w:val="center"/>
          </w:tcPr>
          <w:p w:rsidR="00403CD6" w:rsidRDefault="00403CD6">
            <w:pPr>
              <w:jc w:val="right"/>
              <w:rPr>
                <w:rFonts w:ascii="Times New Roman" w:eastAsia="宋体" w:hAnsi="Times New Roman" w:cs="Times New Roman"/>
                <w:sz w:val="18"/>
                <w:szCs w:val="18"/>
              </w:rPr>
            </w:pPr>
          </w:p>
        </w:tc>
        <w:tc>
          <w:tcPr>
            <w:tcW w:w="1466"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调整后期初未分配利润</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8,020,182,801.55</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9,390,642,477.57</w:t>
            </w: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加：本期归属于母公司所有者的净利润</w:t>
            </w:r>
          </w:p>
        </w:tc>
        <w:tc>
          <w:tcPr>
            <w:tcW w:w="1466" w:type="pct"/>
            <w:vAlign w:val="center"/>
          </w:tcPr>
          <w:p w:rsidR="00403CD6" w:rsidRPr="004E1CA6" w:rsidRDefault="00012CDC">
            <w:pPr>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-7,410,784,491.65</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lang w:val="en-GB"/>
              </w:rPr>
              <w:t xml:space="preserve">-1,281,289,649.82 </w:t>
            </w: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减：提取一般风险准备</w:t>
            </w:r>
          </w:p>
        </w:tc>
        <w:tc>
          <w:tcPr>
            <w:tcW w:w="1466" w:type="pct"/>
            <w:vAlign w:val="center"/>
          </w:tcPr>
          <w:p w:rsidR="00403CD6" w:rsidRPr="004E1CA6" w:rsidRDefault="00E91A59">
            <w:pPr>
              <w:spacing w:before="100" w:beforeAutospacing="1" w:after="100" w:afterAutospacing="1"/>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1,580,289.20</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-529,973.80</w:t>
            </w:r>
          </w:p>
        </w:tc>
      </w:tr>
      <w:tr w:rsidR="00403CD6">
        <w:trPr>
          <w:trHeight w:val="284"/>
        </w:trPr>
        <w:tc>
          <w:tcPr>
            <w:tcW w:w="2069" w:type="pct"/>
            <w:shd w:val="clear" w:color="auto" w:fill="D3D3D3"/>
            <w:vAlign w:val="center"/>
          </w:tcPr>
          <w:p w:rsidR="00403CD6" w:rsidRDefault="00E91A59">
            <w:pPr>
              <w:spacing w:before="40" w:after="4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lang w:val="en-GB"/>
              </w:rPr>
              <w:t>应付永续债股利</w:t>
            </w:r>
          </w:p>
        </w:tc>
        <w:tc>
          <w:tcPr>
            <w:tcW w:w="1466" w:type="pct"/>
            <w:vAlign w:val="center"/>
          </w:tcPr>
          <w:p w:rsidR="00403CD6" w:rsidRPr="004E1CA6" w:rsidRDefault="00403CD6">
            <w:pPr>
              <w:jc w:val="right"/>
              <w:rPr>
                <w:rFonts w:ascii="Times New Roman" w:eastAsia="仿宋_GB2312" w:hAnsi="Times New Roman" w:cs="Times New Roman"/>
                <w:sz w:val="18"/>
                <w:szCs w:val="18"/>
              </w:rPr>
            </w:pP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89,700,000.00</w:t>
            </w:r>
          </w:p>
        </w:tc>
      </w:tr>
      <w:tr w:rsidR="00403CD6">
        <w:trPr>
          <w:trHeight w:val="284"/>
        </w:trPr>
        <w:tc>
          <w:tcPr>
            <w:tcW w:w="206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期末未分配利润</w:t>
            </w:r>
          </w:p>
        </w:tc>
        <w:tc>
          <w:tcPr>
            <w:tcW w:w="1466" w:type="pct"/>
            <w:vAlign w:val="center"/>
          </w:tcPr>
          <w:p w:rsidR="00403CD6" w:rsidRPr="004E1CA6" w:rsidRDefault="00012CDC">
            <w:pPr>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607,818,020.70</w:t>
            </w:r>
          </w:p>
        </w:tc>
        <w:tc>
          <w:tcPr>
            <w:tcW w:w="1466"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8,020,182,801.55 </w:t>
            </w:r>
          </w:p>
        </w:tc>
      </w:tr>
    </w:tbl>
    <w:p w:rsidR="00403CD6" w:rsidRDefault="00E91A59">
      <w:pPr>
        <w:keepNext/>
        <w:keepLines/>
        <w:spacing w:before="300" w:after="300" w:line="280" w:lineRule="exact"/>
        <w:outlineLvl w:val="2"/>
        <w:rPr>
          <w:rFonts w:ascii="宋体" w:eastAsia="宋体" w:hAnsi="宋体" w:cs="宋体"/>
          <w:b/>
          <w:bCs/>
          <w:szCs w:val="21"/>
        </w:rPr>
      </w:pPr>
      <w:bookmarkStart w:id="97" w:name="_Toc989372"/>
      <w:r>
        <w:rPr>
          <w:rFonts w:ascii="宋体" w:eastAsia="宋体" w:hAnsi="宋体" w:cs="宋体" w:hint="eastAsia"/>
          <w:b/>
          <w:bCs/>
          <w:szCs w:val="21"/>
        </w:rPr>
        <w:t>48、营业收入和营业成本</w:t>
      </w:r>
      <w:bookmarkEnd w:id="97"/>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3"/>
        <w:gridCol w:w="2486"/>
        <w:gridCol w:w="1843"/>
        <w:gridCol w:w="1984"/>
        <w:gridCol w:w="1807"/>
      </w:tblGrid>
      <w:tr w:rsidR="00403CD6">
        <w:trPr>
          <w:trHeight w:val="284"/>
        </w:trPr>
        <w:tc>
          <w:tcPr>
            <w:tcW w:w="87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196"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924"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879" w:type="pct"/>
            <w:vMerge/>
            <w:vAlign w:val="center"/>
          </w:tcPr>
          <w:p w:rsidR="00403CD6" w:rsidRDefault="00403CD6">
            <w:pPr>
              <w:widowControl/>
              <w:rPr>
                <w:rFonts w:ascii="Times New Roman" w:eastAsia="宋体" w:hAnsi="Times New Roman" w:cs="Times New Roman"/>
                <w:sz w:val="18"/>
                <w:szCs w:val="18"/>
              </w:rPr>
            </w:pPr>
          </w:p>
        </w:tc>
        <w:tc>
          <w:tcPr>
            <w:tcW w:w="126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收入</w:t>
            </w:r>
          </w:p>
        </w:tc>
        <w:tc>
          <w:tcPr>
            <w:tcW w:w="93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成本</w:t>
            </w:r>
          </w:p>
        </w:tc>
        <w:tc>
          <w:tcPr>
            <w:tcW w:w="100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收入</w:t>
            </w:r>
          </w:p>
        </w:tc>
        <w:tc>
          <w:tcPr>
            <w:tcW w:w="9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成本</w:t>
            </w:r>
          </w:p>
        </w:tc>
      </w:tr>
      <w:tr w:rsidR="00403CD6">
        <w:trPr>
          <w:trHeight w:val="284"/>
        </w:trPr>
        <w:tc>
          <w:tcPr>
            <w:tcW w:w="87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主营业务</w:t>
            </w:r>
          </w:p>
        </w:tc>
        <w:tc>
          <w:tcPr>
            <w:tcW w:w="126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22,602,034,544.86 </w:t>
            </w:r>
          </w:p>
        </w:tc>
        <w:tc>
          <w:tcPr>
            <w:tcW w:w="9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22,085,665,323.51</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26,368,633,225.48</w:t>
            </w:r>
          </w:p>
        </w:tc>
        <w:tc>
          <w:tcPr>
            <w:tcW w:w="91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24,241,469,338.15</w:t>
            </w:r>
          </w:p>
        </w:tc>
      </w:tr>
      <w:tr w:rsidR="00403CD6">
        <w:trPr>
          <w:trHeight w:val="284"/>
        </w:trPr>
        <w:tc>
          <w:tcPr>
            <w:tcW w:w="879"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其他业务</w:t>
            </w:r>
          </w:p>
        </w:tc>
        <w:tc>
          <w:tcPr>
            <w:tcW w:w="126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127,440,307.90</w:t>
            </w:r>
          </w:p>
        </w:tc>
        <w:tc>
          <w:tcPr>
            <w:tcW w:w="9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59,163,344.92</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239,937,002.72</w:t>
            </w:r>
          </w:p>
        </w:tc>
        <w:tc>
          <w:tcPr>
            <w:tcW w:w="91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204,016,961.78</w:t>
            </w:r>
          </w:p>
        </w:tc>
      </w:tr>
      <w:tr w:rsidR="00403CD6">
        <w:trPr>
          <w:trHeight w:val="284"/>
        </w:trPr>
        <w:tc>
          <w:tcPr>
            <w:tcW w:w="8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6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22,729,474,852.76 </w:t>
            </w:r>
          </w:p>
        </w:tc>
        <w:tc>
          <w:tcPr>
            <w:tcW w:w="9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22,144,828,668.43</w:t>
            </w:r>
          </w:p>
        </w:tc>
        <w:tc>
          <w:tcPr>
            <w:tcW w:w="100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26,608,570,228.20</w:t>
            </w:r>
          </w:p>
        </w:tc>
        <w:tc>
          <w:tcPr>
            <w:tcW w:w="91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24,445,486,299.93</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经审计扣除非经常损益</w:t>
      </w:r>
      <w:proofErr w:type="gramStart"/>
      <w:r>
        <w:rPr>
          <w:rFonts w:ascii="宋体" w:eastAsia="宋体" w:hAnsi="宋体" w:cs="宋体" w:hint="eastAsia"/>
          <w:sz w:val="18"/>
          <w:szCs w:val="18"/>
        </w:rPr>
        <w:t>前后净</w:t>
      </w:r>
      <w:proofErr w:type="gramEnd"/>
      <w:r>
        <w:rPr>
          <w:rFonts w:ascii="宋体" w:eastAsia="宋体" w:hAnsi="宋体" w:cs="宋体" w:hint="eastAsia"/>
          <w:sz w:val="18"/>
          <w:szCs w:val="18"/>
        </w:rPr>
        <w:t>利润孰</w:t>
      </w:r>
      <w:proofErr w:type="gramStart"/>
      <w:r>
        <w:rPr>
          <w:rFonts w:ascii="宋体" w:eastAsia="宋体" w:hAnsi="宋体" w:cs="宋体" w:hint="eastAsia"/>
          <w:sz w:val="18"/>
          <w:szCs w:val="18"/>
        </w:rPr>
        <w:t>低是否</w:t>
      </w:r>
      <w:proofErr w:type="gramEnd"/>
      <w:r>
        <w:rPr>
          <w:rFonts w:ascii="宋体" w:eastAsia="宋体" w:hAnsi="宋体" w:cs="宋体" w:hint="eastAsia"/>
          <w:sz w:val="18"/>
          <w:szCs w:val="18"/>
        </w:rPr>
        <w:t>为负值</w:t>
      </w:r>
    </w:p>
    <w:p w:rsidR="00403CD6" w:rsidRDefault="00E91A59">
      <w:pPr>
        <w:spacing w:before="100" w:after="100" w:line="240" w:lineRule="exact"/>
        <w:rPr>
          <w:rFonts w:ascii="宋体" w:eastAsia="宋体" w:hAnsi="宋体" w:cs="宋体"/>
          <w:sz w:val="18"/>
          <w:szCs w:val="18"/>
        </w:rPr>
      </w:pPr>
      <w:r>
        <w:rPr>
          <w:rFonts w:ascii="宋体" w:eastAsia="宋体" w:hAnsi="宋体" w:cs="宋体"/>
          <w:sz w:val="18"/>
          <w:szCs w:val="18"/>
        </w:rPr>
        <w:lastRenderedPageBreak/>
        <w:sym w:font="Wingdings 2" w:char="F052"/>
      </w:r>
      <w:r>
        <w:rPr>
          <w:rFonts w:ascii="宋体" w:eastAsia="宋体" w:hAnsi="宋体" w:cs="宋体" w:hint="eastAsia"/>
          <w:sz w:val="18"/>
          <w:szCs w:val="18"/>
        </w:rPr>
        <w:t>是 □否</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007"/>
        <w:gridCol w:w="1487"/>
        <w:gridCol w:w="1915"/>
        <w:gridCol w:w="1551"/>
        <w:gridCol w:w="1733"/>
      </w:tblGrid>
      <w:tr w:rsidR="00403CD6">
        <w:trPr>
          <w:trHeight w:val="284"/>
        </w:trPr>
        <w:tc>
          <w:tcPr>
            <w:tcW w:w="15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本年度</w:t>
            </w:r>
          </w:p>
        </w:tc>
        <w:tc>
          <w:tcPr>
            <w:tcW w:w="98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具体扣除情况</w:t>
            </w:r>
          </w:p>
        </w:tc>
        <w:tc>
          <w:tcPr>
            <w:tcW w:w="8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上年度</w:t>
            </w:r>
          </w:p>
        </w:tc>
        <w:tc>
          <w:tcPr>
            <w:tcW w:w="8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具体扣除情况</w:t>
            </w: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营业收入金额</w:t>
            </w:r>
          </w:p>
        </w:tc>
        <w:tc>
          <w:tcPr>
            <w:tcW w:w="7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22,729,474,852.76 </w:t>
            </w:r>
          </w:p>
        </w:tc>
        <w:tc>
          <w:tcPr>
            <w:tcW w:w="988" w:type="pct"/>
            <w:vAlign w:val="center"/>
          </w:tcPr>
          <w:p w:rsidR="00403CD6" w:rsidRDefault="00403CD6">
            <w:pPr>
              <w:spacing w:line="240" w:lineRule="exact"/>
              <w:rPr>
                <w:rFonts w:ascii="Times New Roman" w:eastAsia="宋体" w:hAnsi="Times New Roman" w:cs="Times New Roman"/>
                <w:sz w:val="18"/>
                <w:szCs w:val="18"/>
              </w:rPr>
            </w:pPr>
          </w:p>
        </w:tc>
        <w:tc>
          <w:tcPr>
            <w:tcW w:w="80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26,608,570,228.20</w:t>
            </w:r>
          </w:p>
        </w:tc>
        <w:tc>
          <w:tcPr>
            <w:tcW w:w="89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营业收入扣除项目合计金额</w:t>
            </w:r>
          </w:p>
        </w:tc>
        <w:tc>
          <w:tcPr>
            <w:tcW w:w="7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159,980,820.39</w:t>
            </w:r>
          </w:p>
        </w:tc>
        <w:tc>
          <w:tcPr>
            <w:tcW w:w="988"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105,595,945.36</w:t>
            </w:r>
            <w:r>
              <w:rPr>
                <w:rFonts w:ascii="Times New Roman" w:eastAsia="宋体" w:hAnsi="Times New Roman" w:cs="Times New Roman"/>
                <w:sz w:val="18"/>
                <w:szCs w:val="18"/>
              </w:rPr>
              <w:t>元；其他收入</w:t>
            </w:r>
            <w:r>
              <w:rPr>
                <w:rFonts w:ascii="Times New Roman" w:eastAsia="宋体" w:hAnsi="Times New Roman" w:cs="Times New Roman"/>
                <w:sz w:val="18"/>
                <w:szCs w:val="18"/>
              </w:rPr>
              <w:t>54,384,875.03</w:t>
            </w:r>
            <w:r>
              <w:rPr>
                <w:rFonts w:ascii="Times New Roman" w:eastAsia="宋体" w:hAnsi="Times New Roman" w:cs="Times New Roman"/>
                <w:sz w:val="18"/>
                <w:szCs w:val="18"/>
              </w:rPr>
              <w:t>元。</w:t>
            </w:r>
          </w:p>
        </w:tc>
        <w:tc>
          <w:tcPr>
            <w:tcW w:w="8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986,216,965.96</w:t>
            </w:r>
          </w:p>
        </w:tc>
        <w:tc>
          <w:tcPr>
            <w:tcW w:w="89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900,376,053.88</w:t>
            </w:r>
            <w:r>
              <w:rPr>
                <w:rFonts w:ascii="Times New Roman" w:eastAsia="宋体" w:hAnsi="Times New Roman" w:cs="Times New Roman"/>
                <w:sz w:val="18"/>
                <w:szCs w:val="18"/>
              </w:rPr>
              <w:t>元；其他收入</w:t>
            </w:r>
            <w:r>
              <w:rPr>
                <w:rFonts w:ascii="Times New Roman" w:eastAsia="宋体" w:hAnsi="Times New Roman" w:cs="Times New Roman"/>
                <w:sz w:val="18"/>
                <w:szCs w:val="18"/>
              </w:rPr>
              <w:t>85,840,912.08</w:t>
            </w:r>
            <w:r>
              <w:rPr>
                <w:rFonts w:ascii="Times New Roman" w:eastAsia="宋体" w:hAnsi="Times New Roman" w:cs="Times New Roman"/>
                <w:sz w:val="18"/>
                <w:szCs w:val="18"/>
              </w:rPr>
              <w:t>元。</w:t>
            </w: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营业收入扣除项目合计金额占营业收入的比重</w:t>
            </w:r>
          </w:p>
        </w:tc>
        <w:tc>
          <w:tcPr>
            <w:tcW w:w="76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0.70%</w:t>
            </w:r>
          </w:p>
        </w:tc>
        <w:tc>
          <w:tcPr>
            <w:tcW w:w="988" w:type="pct"/>
            <w:vAlign w:val="center"/>
          </w:tcPr>
          <w:p w:rsidR="00403CD6" w:rsidRDefault="00403CD6">
            <w:pPr>
              <w:spacing w:line="240" w:lineRule="exact"/>
              <w:rPr>
                <w:rFonts w:ascii="Times New Roman" w:eastAsia="宋体" w:hAnsi="Times New Roman" w:cs="Times New Roman"/>
                <w:sz w:val="18"/>
                <w:szCs w:val="18"/>
              </w:rPr>
            </w:pPr>
          </w:p>
        </w:tc>
        <w:tc>
          <w:tcPr>
            <w:tcW w:w="800"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3.71%</w:t>
            </w:r>
          </w:p>
        </w:tc>
        <w:tc>
          <w:tcPr>
            <w:tcW w:w="89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一、与主营业务无关的业务收入</w:t>
            </w:r>
          </w:p>
        </w:tc>
        <w:tc>
          <w:tcPr>
            <w:tcW w:w="767" w:type="pct"/>
            <w:shd w:val="clear" w:color="auto" w:fill="D3D3D3"/>
            <w:vAlign w:val="center"/>
          </w:tcPr>
          <w:p w:rsidR="00403CD6" w:rsidRDefault="00403CD6">
            <w:pPr>
              <w:rPr>
                <w:rFonts w:ascii="Times New Roman" w:hAnsi="Times New Roman" w:cs="Times New Roman"/>
              </w:rPr>
            </w:pPr>
          </w:p>
        </w:tc>
        <w:tc>
          <w:tcPr>
            <w:tcW w:w="988" w:type="pct"/>
            <w:shd w:val="clear" w:color="auto" w:fill="D3D3D3"/>
            <w:vAlign w:val="center"/>
          </w:tcPr>
          <w:p w:rsidR="00403CD6" w:rsidRDefault="00403CD6">
            <w:pPr>
              <w:rPr>
                <w:rFonts w:ascii="Times New Roman" w:hAnsi="Times New Roman" w:cs="Times New Roman"/>
              </w:rPr>
            </w:pPr>
          </w:p>
        </w:tc>
        <w:tc>
          <w:tcPr>
            <w:tcW w:w="800" w:type="pct"/>
            <w:shd w:val="clear" w:color="auto" w:fill="D3D3D3"/>
            <w:vAlign w:val="center"/>
          </w:tcPr>
          <w:p w:rsidR="00403CD6" w:rsidRDefault="00403CD6">
            <w:pPr>
              <w:rPr>
                <w:rFonts w:ascii="Times New Roman" w:hAnsi="Times New Roman" w:cs="Times New Roman"/>
              </w:rPr>
            </w:pPr>
          </w:p>
        </w:tc>
        <w:tc>
          <w:tcPr>
            <w:tcW w:w="895"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．正常经营之外的其他业务收入。如出租固定资产、无形资产、包装物，销售材料，用材料进行非货币性资产交换，经营受托管理业务等实现的收入，</w:t>
            </w:r>
            <w:proofErr w:type="gramStart"/>
            <w:r>
              <w:rPr>
                <w:rFonts w:ascii="Times New Roman" w:eastAsia="宋体" w:hAnsi="Times New Roman" w:cs="Times New Roman"/>
                <w:sz w:val="18"/>
                <w:szCs w:val="18"/>
              </w:rPr>
              <w:t>以及虽计入主</w:t>
            </w:r>
            <w:proofErr w:type="gramEnd"/>
            <w:r>
              <w:rPr>
                <w:rFonts w:ascii="Times New Roman" w:eastAsia="宋体" w:hAnsi="Times New Roman" w:cs="Times New Roman"/>
                <w:sz w:val="18"/>
                <w:szCs w:val="18"/>
              </w:rPr>
              <w:t>营业务收入，但属于上市公司正常经营之外的收入。</w:t>
            </w:r>
          </w:p>
        </w:tc>
        <w:tc>
          <w:tcPr>
            <w:tcW w:w="7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159,980,820.39</w:t>
            </w:r>
          </w:p>
        </w:tc>
        <w:tc>
          <w:tcPr>
            <w:tcW w:w="988"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105,595,945.36</w:t>
            </w:r>
            <w:r>
              <w:rPr>
                <w:rFonts w:ascii="Times New Roman" w:eastAsia="宋体" w:hAnsi="Times New Roman" w:cs="Times New Roman"/>
                <w:sz w:val="18"/>
                <w:szCs w:val="18"/>
              </w:rPr>
              <w:t>元；其他收入</w:t>
            </w:r>
            <w:r>
              <w:rPr>
                <w:rFonts w:ascii="Times New Roman" w:eastAsia="宋体" w:hAnsi="Times New Roman" w:cs="Times New Roman"/>
                <w:sz w:val="18"/>
                <w:szCs w:val="18"/>
              </w:rPr>
              <w:t>54,384,875.03</w:t>
            </w:r>
            <w:r>
              <w:rPr>
                <w:rFonts w:ascii="Times New Roman" w:eastAsia="宋体" w:hAnsi="Times New Roman" w:cs="Times New Roman"/>
                <w:sz w:val="18"/>
                <w:szCs w:val="18"/>
              </w:rPr>
              <w:t>元。</w:t>
            </w:r>
          </w:p>
        </w:tc>
        <w:tc>
          <w:tcPr>
            <w:tcW w:w="8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986,216,965.96</w:t>
            </w:r>
          </w:p>
        </w:tc>
        <w:tc>
          <w:tcPr>
            <w:tcW w:w="89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900,376,053.88</w:t>
            </w:r>
            <w:r>
              <w:rPr>
                <w:rFonts w:ascii="Times New Roman" w:eastAsia="宋体" w:hAnsi="Times New Roman" w:cs="Times New Roman"/>
                <w:sz w:val="18"/>
                <w:szCs w:val="18"/>
              </w:rPr>
              <w:t>元；其他收入</w:t>
            </w:r>
            <w:r>
              <w:rPr>
                <w:rFonts w:ascii="Times New Roman" w:eastAsia="宋体" w:hAnsi="Times New Roman" w:cs="Times New Roman"/>
                <w:sz w:val="18"/>
                <w:szCs w:val="18"/>
              </w:rPr>
              <w:t>85,840,912.08</w:t>
            </w:r>
            <w:r>
              <w:rPr>
                <w:rFonts w:ascii="Times New Roman" w:eastAsia="宋体" w:hAnsi="Times New Roman" w:cs="Times New Roman"/>
                <w:sz w:val="18"/>
                <w:szCs w:val="18"/>
              </w:rPr>
              <w:t>元。</w:t>
            </w: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与主营业务无关的业务收入小计</w:t>
            </w:r>
          </w:p>
        </w:tc>
        <w:tc>
          <w:tcPr>
            <w:tcW w:w="7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159,980,820.39</w:t>
            </w:r>
          </w:p>
        </w:tc>
        <w:tc>
          <w:tcPr>
            <w:tcW w:w="988"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105,595,945.36</w:t>
            </w:r>
            <w:r>
              <w:rPr>
                <w:rFonts w:ascii="Times New Roman" w:eastAsia="宋体" w:hAnsi="Times New Roman" w:cs="Times New Roman"/>
                <w:sz w:val="18"/>
                <w:szCs w:val="18"/>
              </w:rPr>
              <w:t>元；其他收入</w:t>
            </w:r>
            <w:r>
              <w:rPr>
                <w:rFonts w:ascii="Times New Roman" w:eastAsia="宋体" w:hAnsi="Times New Roman" w:cs="Times New Roman"/>
                <w:sz w:val="18"/>
                <w:szCs w:val="18"/>
              </w:rPr>
              <w:t>54,384,875.03</w:t>
            </w:r>
            <w:r>
              <w:rPr>
                <w:rFonts w:ascii="Times New Roman" w:eastAsia="宋体" w:hAnsi="Times New Roman" w:cs="Times New Roman"/>
                <w:sz w:val="18"/>
                <w:szCs w:val="18"/>
              </w:rPr>
              <w:t>元。</w:t>
            </w:r>
          </w:p>
        </w:tc>
        <w:tc>
          <w:tcPr>
            <w:tcW w:w="8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986,216,965.96</w:t>
            </w:r>
          </w:p>
        </w:tc>
        <w:tc>
          <w:tcPr>
            <w:tcW w:w="89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900,376,053.88</w:t>
            </w:r>
            <w:r>
              <w:rPr>
                <w:rFonts w:ascii="Times New Roman" w:eastAsia="宋体" w:hAnsi="Times New Roman" w:cs="Times New Roman"/>
                <w:sz w:val="18"/>
                <w:szCs w:val="18"/>
              </w:rPr>
              <w:t>元；其他收入</w:t>
            </w:r>
            <w:r>
              <w:rPr>
                <w:rFonts w:ascii="Times New Roman" w:eastAsia="宋体" w:hAnsi="Times New Roman" w:cs="Times New Roman"/>
                <w:sz w:val="18"/>
                <w:szCs w:val="18"/>
              </w:rPr>
              <w:t>85,840,912.08</w:t>
            </w:r>
            <w:r>
              <w:rPr>
                <w:rFonts w:ascii="Times New Roman" w:eastAsia="宋体" w:hAnsi="Times New Roman" w:cs="Times New Roman"/>
                <w:sz w:val="18"/>
                <w:szCs w:val="18"/>
              </w:rPr>
              <w:t>元。</w:t>
            </w: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二、不具备商业实质的收入</w:t>
            </w:r>
          </w:p>
        </w:tc>
        <w:tc>
          <w:tcPr>
            <w:tcW w:w="767" w:type="pct"/>
            <w:shd w:val="clear" w:color="auto" w:fill="D3D3D3"/>
            <w:vAlign w:val="center"/>
          </w:tcPr>
          <w:p w:rsidR="00403CD6" w:rsidRDefault="00403CD6">
            <w:pPr>
              <w:rPr>
                <w:rFonts w:ascii="Times New Roman" w:hAnsi="Times New Roman" w:cs="Times New Roman"/>
              </w:rPr>
            </w:pPr>
          </w:p>
        </w:tc>
        <w:tc>
          <w:tcPr>
            <w:tcW w:w="988" w:type="pct"/>
            <w:shd w:val="clear" w:color="auto" w:fill="D3D3D3"/>
            <w:vAlign w:val="center"/>
          </w:tcPr>
          <w:p w:rsidR="00403CD6" w:rsidRDefault="00403CD6">
            <w:pPr>
              <w:rPr>
                <w:rFonts w:ascii="Times New Roman" w:hAnsi="Times New Roman" w:cs="Times New Roman"/>
              </w:rPr>
            </w:pPr>
          </w:p>
        </w:tc>
        <w:tc>
          <w:tcPr>
            <w:tcW w:w="800" w:type="pct"/>
            <w:shd w:val="clear" w:color="auto" w:fill="D3D3D3"/>
            <w:vAlign w:val="center"/>
          </w:tcPr>
          <w:p w:rsidR="00403CD6" w:rsidRDefault="00403CD6">
            <w:pPr>
              <w:rPr>
                <w:rFonts w:ascii="Times New Roman" w:hAnsi="Times New Roman" w:cs="Times New Roman"/>
              </w:rPr>
            </w:pPr>
          </w:p>
        </w:tc>
        <w:tc>
          <w:tcPr>
            <w:tcW w:w="895"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三、与主营业务无关或不具备商业实质的其他收入</w:t>
            </w:r>
          </w:p>
        </w:tc>
        <w:tc>
          <w:tcPr>
            <w:tcW w:w="767" w:type="pct"/>
            <w:vAlign w:val="center"/>
          </w:tcPr>
          <w:p w:rsidR="00403CD6" w:rsidRDefault="00403CD6">
            <w:pPr>
              <w:spacing w:line="240" w:lineRule="exact"/>
              <w:jc w:val="right"/>
              <w:rPr>
                <w:rFonts w:ascii="Times New Roman" w:eastAsia="宋体" w:hAnsi="Times New Roman" w:cs="Times New Roman"/>
                <w:sz w:val="18"/>
                <w:szCs w:val="18"/>
              </w:rPr>
            </w:pPr>
          </w:p>
        </w:tc>
        <w:tc>
          <w:tcPr>
            <w:tcW w:w="988" w:type="pct"/>
            <w:vAlign w:val="center"/>
          </w:tcPr>
          <w:p w:rsidR="00403CD6" w:rsidRDefault="00403CD6">
            <w:pPr>
              <w:spacing w:line="240" w:lineRule="exact"/>
              <w:rPr>
                <w:rFonts w:ascii="Times New Roman" w:eastAsia="宋体" w:hAnsi="Times New Roman" w:cs="Times New Roman"/>
                <w:sz w:val="18"/>
                <w:szCs w:val="18"/>
              </w:rPr>
            </w:pPr>
          </w:p>
        </w:tc>
        <w:tc>
          <w:tcPr>
            <w:tcW w:w="800" w:type="pct"/>
            <w:vAlign w:val="center"/>
          </w:tcPr>
          <w:p w:rsidR="00403CD6" w:rsidRDefault="00403CD6">
            <w:pPr>
              <w:spacing w:line="240" w:lineRule="exact"/>
              <w:jc w:val="right"/>
              <w:rPr>
                <w:rFonts w:ascii="Times New Roman" w:eastAsia="宋体" w:hAnsi="Times New Roman" w:cs="Times New Roman"/>
                <w:sz w:val="18"/>
                <w:szCs w:val="18"/>
              </w:rPr>
            </w:pPr>
          </w:p>
        </w:tc>
        <w:tc>
          <w:tcPr>
            <w:tcW w:w="89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1551"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营业收入扣除后金额</w:t>
            </w:r>
          </w:p>
        </w:tc>
        <w:tc>
          <w:tcPr>
            <w:tcW w:w="767" w:type="pct"/>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22,569,494,032.37</w:t>
            </w:r>
          </w:p>
        </w:tc>
        <w:tc>
          <w:tcPr>
            <w:tcW w:w="98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sz w:val="18"/>
                <w:szCs w:val="18"/>
              </w:rPr>
              <w:t>销售材料收入</w:t>
            </w:r>
            <w:r>
              <w:rPr>
                <w:rFonts w:ascii="Times New Roman" w:hAnsi="Times New Roman" w:cs="Times New Roman"/>
                <w:sz w:val="18"/>
                <w:szCs w:val="18"/>
              </w:rPr>
              <w:t>105,595,945.36</w:t>
            </w:r>
            <w:r>
              <w:rPr>
                <w:rFonts w:ascii="Times New Roman" w:hAnsi="Times New Roman" w:cs="Times New Roman"/>
                <w:sz w:val="18"/>
                <w:szCs w:val="18"/>
              </w:rPr>
              <w:t>元；其他收入</w:t>
            </w:r>
            <w:r>
              <w:rPr>
                <w:rFonts w:ascii="Times New Roman" w:hAnsi="Times New Roman" w:cs="Times New Roman"/>
                <w:sz w:val="18"/>
                <w:szCs w:val="18"/>
              </w:rPr>
              <w:t>54,384,875.03</w:t>
            </w:r>
            <w:r>
              <w:rPr>
                <w:rFonts w:ascii="Times New Roman" w:hAnsi="Times New Roman" w:cs="Times New Roman"/>
                <w:sz w:val="18"/>
                <w:szCs w:val="18"/>
              </w:rPr>
              <w:t>元。</w:t>
            </w:r>
          </w:p>
        </w:tc>
        <w:tc>
          <w:tcPr>
            <w:tcW w:w="8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25,622,353,262.24</w:t>
            </w:r>
          </w:p>
        </w:tc>
        <w:tc>
          <w:tcPr>
            <w:tcW w:w="895"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sz w:val="18"/>
                <w:szCs w:val="18"/>
              </w:rPr>
              <w:t>销售材料收入</w:t>
            </w:r>
            <w:r>
              <w:rPr>
                <w:rFonts w:ascii="Times New Roman" w:eastAsia="宋体" w:hAnsi="Times New Roman" w:cs="Times New Roman"/>
                <w:sz w:val="18"/>
                <w:szCs w:val="18"/>
              </w:rPr>
              <w:t>900,376,053.88</w:t>
            </w:r>
            <w:r>
              <w:rPr>
                <w:rFonts w:ascii="Times New Roman" w:eastAsia="宋体" w:hAnsi="Times New Roman" w:cs="Times New Roman"/>
                <w:sz w:val="18"/>
                <w:szCs w:val="18"/>
              </w:rPr>
              <w:t>元；其他收入</w:t>
            </w:r>
            <w:r>
              <w:rPr>
                <w:rFonts w:ascii="Times New Roman" w:eastAsia="宋体" w:hAnsi="Times New Roman" w:cs="Times New Roman"/>
                <w:sz w:val="18"/>
                <w:szCs w:val="18"/>
              </w:rPr>
              <w:t>85,840,912.08</w:t>
            </w:r>
            <w:r>
              <w:rPr>
                <w:rFonts w:ascii="Times New Roman" w:eastAsia="宋体" w:hAnsi="Times New Roman" w:cs="Times New Roman"/>
                <w:sz w:val="18"/>
                <w:szCs w:val="18"/>
              </w:rPr>
              <w:t>元。</w:t>
            </w:r>
          </w:p>
        </w:tc>
      </w:tr>
    </w:tbl>
    <w:p w:rsidR="00403CD6" w:rsidRDefault="00E91A59">
      <w:pPr>
        <w:spacing w:line="240" w:lineRule="exact"/>
        <w:rPr>
          <w:rFonts w:ascii="宋体" w:eastAsia="宋体" w:hAnsi="宋体" w:cs="宋体"/>
          <w:sz w:val="18"/>
          <w:szCs w:val="18"/>
        </w:rPr>
      </w:pPr>
      <w:r>
        <w:rPr>
          <w:rFonts w:ascii="宋体" w:eastAsia="宋体" w:hAnsi="宋体" w:cs="宋体" w:hint="eastAsia"/>
          <w:sz w:val="18"/>
          <w:szCs w:val="18"/>
        </w:rPr>
        <w:t>营业收入、营业成本的分解信息：</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161"/>
        <w:gridCol w:w="993"/>
        <w:gridCol w:w="853"/>
        <w:gridCol w:w="1134"/>
        <w:gridCol w:w="711"/>
        <w:gridCol w:w="849"/>
        <w:gridCol w:w="710"/>
        <w:gridCol w:w="851"/>
        <w:gridCol w:w="708"/>
        <w:gridCol w:w="853"/>
        <w:gridCol w:w="870"/>
      </w:tblGrid>
      <w:tr w:rsidR="00403CD6">
        <w:trPr>
          <w:trHeight w:val="284"/>
        </w:trPr>
        <w:tc>
          <w:tcPr>
            <w:tcW w:w="599" w:type="pct"/>
            <w:vMerge w:val="restar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合同分类</w:t>
            </w:r>
          </w:p>
        </w:tc>
        <w:tc>
          <w:tcPr>
            <w:tcW w:w="952" w:type="pct"/>
            <w:gridSpan w:val="2"/>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机制纸</w:t>
            </w:r>
          </w:p>
        </w:tc>
        <w:tc>
          <w:tcPr>
            <w:tcW w:w="952" w:type="pct"/>
            <w:gridSpan w:val="2"/>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金融服务</w:t>
            </w:r>
          </w:p>
        </w:tc>
        <w:tc>
          <w:tcPr>
            <w:tcW w:w="804" w:type="pct"/>
            <w:gridSpan w:val="2"/>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酒店及物业租金</w:t>
            </w:r>
          </w:p>
        </w:tc>
        <w:tc>
          <w:tcPr>
            <w:tcW w:w="804" w:type="pct"/>
            <w:gridSpan w:val="2"/>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其他</w:t>
            </w:r>
          </w:p>
        </w:tc>
        <w:tc>
          <w:tcPr>
            <w:tcW w:w="889" w:type="pct"/>
            <w:gridSpan w:val="2"/>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合计</w:t>
            </w:r>
          </w:p>
        </w:tc>
      </w:tr>
      <w:tr w:rsidR="00403CD6">
        <w:trPr>
          <w:trHeight w:val="284"/>
        </w:trPr>
        <w:tc>
          <w:tcPr>
            <w:tcW w:w="599" w:type="pct"/>
            <w:vMerge/>
            <w:vAlign w:val="center"/>
          </w:tcPr>
          <w:p w:rsidR="00403CD6" w:rsidRDefault="00403CD6">
            <w:pPr>
              <w:widowControl/>
              <w:rPr>
                <w:rFonts w:ascii="宋体" w:eastAsia="宋体" w:hAnsi="宋体" w:cs="宋体"/>
                <w:kern w:val="0"/>
                <w:sz w:val="18"/>
                <w:szCs w:val="18"/>
              </w:rPr>
            </w:pPr>
          </w:p>
        </w:tc>
        <w:tc>
          <w:tcPr>
            <w:tcW w:w="512"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营业收入</w:t>
            </w:r>
          </w:p>
        </w:tc>
        <w:tc>
          <w:tcPr>
            <w:tcW w:w="440"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营业成本</w:t>
            </w:r>
          </w:p>
        </w:tc>
        <w:tc>
          <w:tcPr>
            <w:tcW w:w="585"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营业收入</w:t>
            </w:r>
          </w:p>
        </w:tc>
        <w:tc>
          <w:tcPr>
            <w:tcW w:w="367"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营业成本</w:t>
            </w:r>
          </w:p>
        </w:tc>
        <w:tc>
          <w:tcPr>
            <w:tcW w:w="438"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营业收入</w:t>
            </w:r>
          </w:p>
        </w:tc>
        <w:tc>
          <w:tcPr>
            <w:tcW w:w="366"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营业成本</w:t>
            </w:r>
          </w:p>
        </w:tc>
        <w:tc>
          <w:tcPr>
            <w:tcW w:w="439"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营业收入</w:t>
            </w:r>
          </w:p>
        </w:tc>
        <w:tc>
          <w:tcPr>
            <w:tcW w:w="365"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营业成本</w:t>
            </w:r>
          </w:p>
        </w:tc>
        <w:tc>
          <w:tcPr>
            <w:tcW w:w="440"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营业收入</w:t>
            </w:r>
          </w:p>
        </w:tc>
        <w:tc>
          <w:tcPr>
            <w:tcW w:w="449" w:type="pct"/>
            <w:shd w:val="clear" w:color="000000" w:fill="BFBFBF"/>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营业成本</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业务类型</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22,121,097,000.91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21,633,558,055.36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194,122,370.30</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754,872.50</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195,920,780.92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213,936,663.38</w:t>
            </w:r>
          </w:p>
        </w:tc>
        <w:tc>
          <w:tcPr>
            <w:tcW w:w="43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               218,334,700.63 </w:t>
            </w:r>
          </w:p>
        </w:tc>
        <w:tc>
          <w:tcPr>
            <w:tcW w:w="365"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22,729,474,852.76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22,144,828,668.43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其中：</w:t>
            </w:r>
          </w:p>
        </w:tc>
        <w:tc>
          <w:tcPr>
            <w:tcW w:w="512"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585"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7"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8"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6"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9"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5"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9"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机制纸</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20,179,848,508.57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19,870,513,391.35 </w:t>
            </w:r>
          </w:p>
        </w:tc>
        <w:tc>
          <w:tcPr>
            <w:tcW w:w="58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8"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20,179,848,508.57 </w:t>
            </w:r>
          </w:p>
        </w:tc>
        <w:tc>
          <w:tcPr>
            <w:tcW w:w="44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19,870,513,391.35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化学浆</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1,519,262,130.75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1,370,195,011.59 </w:t>
            </w:r>
          </w:p>
        </w:tc>
        <w:tc>
          <w:tcPr>
            <w:tcW w:w="58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8"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1,519,262,130.75 </w:t>
            </w:r>
          </w:p>
        </w:tc>
        <w:tc>
          <w:tcPr>
            <w:tcW w:w="44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1,370,195,011.59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电力及热力</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216,763,239.54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259,600,886.37 </w:t>
            </w:r>
          </w:p>
        </w:tc>
        <w:tc>
          <w:tcPr>
            <w:tcW w:w="58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8"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216,763,239.54 </w:t>
            </w:r>
          </w:p>
        </w:tc>
        <w:tc>
          <w:tcPr>
            <w:tcW w:w="44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259,600,886.37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建筑材料</w:t>
            </w:r>
          </w:p>
        </w:tc>
        <w:tc>
          <w:tcPr>
            <w:tcW w:w="512"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585"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7"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8"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6"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9"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127,783,427.12 </w:t>
            </w:r>
          </w:p>
        </w:tc>
        <w:tc>
          <w:tcPr>
            <w:tcW w:w="365"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135,982,330.21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127,783,427.12 </w:t>
            </w:r>
          </w:p>
        </w:tc>
        <w:tc>
          <w:tcPr>
            <w:tcW w:w="44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135,982,330.21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酒店及物业租金</w:t>
            </w:r>
          </w:p>
        </w:tc>
        <w:tc>
          <w:tcPr>
            <w:tcW w:w="512"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585"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7"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38"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 xml:space="preserve">193,494,961.95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213,050,117.25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 xml:space="preserve">193,494,961.95 </w:t>
            </w:r>
          </w:p>
        </w:tc>
        <w:tc>
          <w:tcPr>
            <w:tcW w:w="44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213,050,117.25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造纸化工用品</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88,627,247.45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76,919,302.04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88,627,247.45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76,919,302.04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其他</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116,595,874.60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56,329,464.01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754,872.50 </w:t>
            </w:r>
          </w:p>
        </w:tc>
        <w:tc>
          <w:tcPr>
            <w:tcW w:w="438"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2,425,818.97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886,546.13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90,551,273.51 </w:t>
            </w:r>
          </w:p>
        </w:tc>
        <w:tc>
          <w:tcPr>
            <w:tcW w:w="365"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hAnsi="Times New Roman" w:cs="Times New Roman"/>
                <w:sz w:val="18"/>
                <w:szCs w:val="18"/>
              </w:rPr>
              <w:t xml:space="preserve">160,596,746.98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403,695,337.38 </w:t>
            </w:r>
          </w:p>
        </w:tc>
        <w:tc>
          <w:tcPr>
            <w:tcW w:w="44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218,567,629.62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bCs/>
                <w:kern w:val="0"/>
                <w:sz w:val="18"/>
                <w:szCs w:val="18"/>
              </w:rPr>
            </w:pPr>
            <w:r>
              <w:rPr>
                <w:rFonts w:ascii="宋体" w:eastAsia="宋体" w:hAnsi="宋体" w:cs="宋体" w:hint="eastAsia"/>
                <w:bCs/>
                <w:kern w:val="0"/>
                <w:sz w:val="18"/>
                <w:szCs w:val="18"/>
              </w:rPr>
              <w:t>按经营地区分类</w:t>
            </w:r>
          </w:p>
        </w:tc>
        <w:tc>
          <w:tcPr>
            <w:tcW w:w="512"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22,121,097,000.91</w:t>
            </w:r>
          </w:p>
        </w:tc>
        <w:tc>
          <w:tcPr>
            <w:tcW w:w="440"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21,633,558,055.36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754,872.50 </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195,920,780.92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213,936,663.38 </w:t>
            </w:r>
          </w:p>
        </w:tc>
        <w:tc>
          <w:tcPr>
            <w:tcW w:w="43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218,334,700.63 </w:t>
            </w:r>
          </w:p>
        </w:tc>
        <w:tc>
          <w:tcPr>
            <w:tcW w:w="365"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22,729,474,852.76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22,144,828,668.43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 xml:space="preserve">　其中：</w:t>
            </w:r>
          </w:p>
        </w:tc>
        <w:tc>
          <w:tcPr>
            <w:tcW w:w="512"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585"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7"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8"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6"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9"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5"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9" w:type="pct"/>
            <w:shd w:val="clear" w:color="000000" w:fill="BFBFBF"/>
            <w:vAlign w:val="center"/>
          </w:tcPr>
          <w:p w:rsidR="00403CD6" w:rsidRDefault="00403CD6">
            <w:pPr>
              <w:widowControl/>
              <w:jc w:val="right"/>
              <w:rPr>
                <w:rFonts w:ascii="Times New Roman" w:eastAsia="宋体" w:hAnsi="Times New Roman" w:cs="Times New Roman"/>
                <w:kern w:val="0"/>
                <w:sz w:val="22"/>
              </w:rPr>
            </w:pP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lastRenderedPageBreak/>
              <w:t>中国大陆</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17,473,683,752.92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17,001,454,557.91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sz w:val="18"/>
                <w:szCs w:val="18"/>
              </w:rPr>
              <w:t xml:space="preserve">754,872.50 </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195,920,780.92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213,936,663.38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218,334,700.63 </w:t>
            </w:r>
          </w:p>
        </w:tc>
        <w:tc>
          <w:tcPr>
            <w:tcW w:w="365"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hAnsi="Times New Roman" w:cs="Times New Roman"/>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18082061604.77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17,512,725,170.98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其他国家和地区</w:t>
            </w:r>
          </w:p>
        </w:tc>
        <w:tc>
          <w:tcPr>
            <w:tcW w:w="512"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4,647,413,247.99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4,632,103,497.45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43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43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36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hint="eastAsia"/>
                <w:sz w:val="18"/>
                <w:szCs w:val="18"/>
              </w:rPr>
              <w:t xml:space="preserve">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4647413247.99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4</w:t>
            </w:r>
            <w:r>
              <w:rPr>
                <w:rFonts w:ascii="Times New Roman" w:hAnsi="Times New Roman" w:cs="Times New Roman" w:hint="eastAsia"/>
                <w:sz w:val="18"/>
                <w:szCs w:val="18"/>
              </w:rPr>
              <w:t>,</w:t>
            </w:r>
            <w:r>
              <w:rPr>
                <w:rFonts w:ascii="Times New Roman" w:hAnsi="Times New Roman" w:cs="Times New Roman"/>
                <w:sz w:val="18"/>
                <w:szCs w:val="18"/>
              </w:rPr>
              <w:t>632</w:t>
            </w:r>
            <w:r>
              <w:rPr>
                <w:rFonts w:ascii="Times New Roman" w:hAnsi="Times New Roman" w:cs="Times New Roman" w:hint="eastAsia"/>
                <w:sz w:val="18"/>
                <w:szCs w:val="18"/>
              </w:rPr>
              <w:t>,</w:t>
            </w:r>
            <w:r>
              <w:rPr>
                <w:rFonts w:ascii="Times New Roman" w:hAnsi="Times New Roman" w:cs="Times New Roman"/>
                <w:sz w:val="18"/>
                <w:szCs w:val="18"/>
              </w:rPr>
              <w:t>103</w:t>
            </w:r>
            <w:r>
              <w:rPr>
                <w:rFonts w:ascii="Times New Roman" w:hAnsi="Times New Roman" w:cs="Times New Roman" w:hint="eastAsia"/>
                <w:sz w:val="18"/>
                <w:szCs w:val="18"/>
              </w:rPr>
              <w:t>,</w:t>
            </w:r>
            <w:r>
              <w:rPr>
                <w:rFonts w:ascii="Times New Roman" w:hAnsi="Times New Roman" w:cs="Times New Roman"/>
                <w:sz w:val="18"/>
                <w:szCs w:val="18"/>
              </w:rPr>
              <w:t xml:space="preserve">497.45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bCs/>
                <w:kern w:val="0"/>
                <w:sz w:val="18"/>
                <w:szCs w:val="18"/>
              </w:rPr>
            </w:pPr>
            <w:r>
              <w:rPr>
                <w:rFonts w:ascii="宋体" w:eastAsia="宋体" w:hAnsi="宋体" w:cs="宋体" w:hint="eastAsia"/>
                <w:bCs/>
                <w:kern w:val="0"/>
                <w:sz w:val="18"/>
                <w:szCs w:val="18"/>
              </w:rPr>
              <w:t>按商品转让的时间分类</w:t>
            </w:r>
          </w:p>
        </w:tc>
        <w:tc>
          <w:tcPr>
            <w:tcW w:w="512"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22,121,097,000.91 </w:t>
            </w:r>
          </w:p>
        </w:tc>
        <w:tc>
          <w:tcPr>
            <w:tcW w:w="440"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21,633,558,055.36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754,872.50 </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195,920,780.92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213,936,663.38 </w:t>
            </w:r>
          </w:p>
        </w:tc>
        <w:tc>
          <w:tcPr>
            <w:tcW w:w="43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218,334,700.63 </w:t>
            </w:r>
          </w:p>
        </w:tc>
        <w:tc>
          <w:tcPr>
            <w:tcW w:w="365"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22,729,474,852.76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22,144,828,668.43 </w:t>
            </w:r>
          </w:p>
        </w:tc>
      </w:tr>
      <w:tr w:rsidR="00403CD6">
        <w:trPr>
          <w:trHeight w:val="284"/>
        </w:trPr>
        <w:tc>
          <w:tcPr>
            <w:tcW w:w="599" w:type="pct"/>
            <w:shd w:val="clear" w:color="000000" w:fill="BFBFBF"/>
            <w:vAlign w:val="center"/>
          </w:tcPr>
          <w:p w:rsidR="00403CD6" w:rsidRDefault="00E91A59">
            <w:pPr>
              <w:widowControl/>
              <w:rPr>
                <w:rFonts w:ascii="宋体" w:eastAsia="宋体" w:hAnsi="宋体" w:cs="宋体"/>
                <w:kern w:val="0"/>
                <w:sz w:val="22"/>
              </w:rPr>
            </w:pPr>
            <w:r>
              <w:rPr>
                <w:rFonts w:ascii="宋体" w:eastAsia="宋体" w:hAnsi="宋体" w:cs="宋体" w:hint="eastAsia"/>
                <w:kern w:val="0"/>
                <w:sz w:val="22"/>
              </w:rPr>
              <w:t xml:space="preserve">　</w:t>
            </w:r>
            <w:r>
              <w:rPr>
                <w:rFonts w:ascii="宋体" w:eastAsia="宋体" w:hAnsi="宋体" w:cs="宋体" w:hint="eastAsia"/>
                <w:kern w:val="0"/>
                <w:sz w:val="18"/>
                <w:szCs w:val="18"/>
              </w:rPr>
              <w:t>其中</w:t>
            </w:r>
            <w:r>
              <w:rPr>
                <w:rFonts w:ascii="宋体" w:eastAsia="宋体" w:hAnsi="宋体" w:cs="宋体" w:hint="eastAsia"/>
                <w:kern w:val="0"/>
                <w:sz w:val="22"/>
              </w:rPr>
              <w:t>：</w:t>
            </w:r>
          </w:p>
        </w:tc>
        <w:tc>
          <w:tcPr>
            <w:tcW w:w="512"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585"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7"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8"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6"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39"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365" w:type="pct"/>
            <w:shd w:val="clear" w:color="000000" w:fill="BFBFBF"/>
            <w:vAlign w:val="center"/>
          </w:tcPr>
          <w:p w:rsidR="00403CD6" w:rsidRDefault="00E91A59">
            <w:pPr>
              <w:widowControl/>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0"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c>
          <w:tcPr>
            <w:tcW w:w="449" w:type="pct"/>
            <w:shd w:val="clear" w:color="000000" w:fill="BFBFBF"/>
            <w:vAlign w:val="center"/>
          </w:tcPr>
          <w:p w:rsidR="00403CD6" w:rsidRDefault="00E91A59">
            <w:pPr>
              <w:widowControl/>
              <w:jc w:val="right"/>
              <w:rPr>
                <w:rFonts w:ascii="Times New Roman" w:eastAsia="宋体" w:hAnsi="Times New Roman" w:cs="Times New Roman"/>
                <w:kern w:val="0"/>
                <w:sz w:val="22"/>
              </w:rPr>
            </w:pPr>
            <w:r>
              <w:rPr>
                <w:rFonts w:ascii="Times New Roman" w:eastAsia="宋体" w:hAnsi="Times New Roman" w:cs="Times New Roman"/>
                <w:kern w:val="0"/>
                <w:sz w:val="22"/>
              </w:rPr>
              <w:t xml:space="preserve">　</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商品（在某一时转让）</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21,894,912,696.29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21,371,499,091.00</w:t>
            </w:r>
          </w:p>
        </w:tc>
        <w:tc>
          <w:tcPr>
            <w:tcW w:w="585" w:type="pct"/>
            <w:shd w:val="clear" w:color="auto" w:fill="auto"/>
            <w:vAlign w:val="center"/>
          </w:tcPr>
          <w:p w:rsidR="00403CD6" w:rsidRDefault="00403CD6">
            <w:pPr>
              <w:widowControl/>
              <w:spacing w:before="100" w:beforeAutospacing="1" w:after="100" w:afterAutospacing="1"/>
              <w:jc w:val="right"/>
              <w:rPr>
                <w:rFonts w:ascii="Times New Roman" w:eastAsia="宋体" w:hAnsi="Times New Roman" w:cs="Times New Roman"/>
                <w:kern w:val="0"/>
                <w:sz w:val="18"/>
                <w:szCs w:val="18"/>
              </w:rPr>
            </w:pPr>
          </w:p>
        </w:tc>
        <w:tc>
          <w:tcPr>
            <w:tcW w:w="367" w:type="pct"/>
            <w:shd w:val="clear" w:color="auto" w:fill="auto"/>
            <w:vAlign w:val="center"/>
          </w:tcPr>
          <w:p w:rsidR="00403CD6" w:rsidRDefault="00403CD6">
            <w:pPr>
              <w:widowControl/>
              <w:jc w:val="right"/>
              <w:rPr>
                <w:rFonts w:ascii="Times New Roman" w:eastAsia="宋体" w:hAnsi="Times New Roman" w:cs="Times New Roman"/>
                <w:kern w:val="0"/>
                <w:sz w:val="18"/>
                <w:szCs w:val="18"/>
              </w:rPr>
            </w:pP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1,036,801.87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886546.13</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218,334,700.63 </w:t>
            </w:r>
          </w:p>
        </w:tc>
        <w:tc>
          <w:tcPr>
            <w:tcW w:w="365"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hAnsi="Times New Roman" w:cs="Times New Roman"/>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22,114,284,198.79 </w:t>
            </w:r>
          </w:p>
        </w:tc>
        <w:tc>
          <w:tcPr>
            <w:tcW w:w="449" w:type="pct"/>
            <w:shd w:val="clear" w:color="auto" w:fill="auto"/>
            <w:vAlign w:val="center"/>
          </w:tcPr>
          <w:p w:rsidR="00403CD6" w:rsidRDefault="00E91A59">
            <w:pPr>
              <w:jc w:val="right"/>
              <w:rPr>
                <w:rFonts w:ascii="Times New Roman" w:eastAsia="宋体" w:hAnsi="Times New Roman" w:cs="Times New Roman"/>
                <w:bCs/>
                <w:sz w:val="18"/>
                <w:szCs w:val="18"/>
              </w:rPr>
            </w:pPr>
            <w:r>
              <w:rPr>
                <w:rFonts w:ascii="Times New Roman" w:hAnsi="Times New Roman" w:cs="Times New Roman"/>
                <w:bCs/>
                <w:sz w:val="18"/>
                <w:szCs w:val="18"/>
              </w:rPr>
              <w:t>21,668,964,714.32</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服务（在某一时段内提供）</w:t>
            </w:r>
          </w:p>
        </w:tc>
        <w:tc>
          <w:tcPr>
            <w:tcW w:w="512"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226,184,304.62 </w:t>
            </w:r>
          </w:p>
        </w:tc>
        <w:tc>
          <w:tcPr>
            <w:tcW w:w="4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262,058,964.36 </w:t>
            </w:r>
          </w:p>
        </w:tc>
        <w:tc>
          <w:tcPr>
            <w:tcW w:w="58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194,122,370.30 </w:t>
            </w:r>
          </w:p>
        </w:tc>
        <w:tc>
          <w:tcPr>
            <w:tcW w:w="367"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754,872.50 </w:t>
            </w:r>
          </w:p>
        </w:tc>
        <w:tc>
          <w:tcPr>
            <w:tcW w:w="438"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 xml:space="preserve">194,883,979.05 </w:t>
            </w:r>
          </w:p>
        </w:tc>
        <w:tc>
          <w:tcPr>
            <w:tcW w:w="366"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213,050,117.25 </w:t>
            </w:r>
          </w:p>
        </w:tc>
        <w:tc>
          <w:tcPr>
            <w:tcW w:w="4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36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 xml:space="preserve">615,190,653.97 </w:t>
            </w:r>
          </w:p>
        </w:tc>
        <w:tc>
          <w:tcPr>
            <w:tcW w:w="449"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475,863,954.11 </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bCs/>
                <w:kern w:val="0"/>
                <w:sz w:val="18"/>
                <w:szCs w:val="18"/>
              </w:rPr>
            </w:pPr>
            <w:r>
              <w:rPr>
                <w:rFonts w:ascii="宋体" w:eastAsia="宋体" w:hAnsi="宋体" w:cs="宋体" w:hint="eastAsia"/>
                <w:bCs/>
                <w:kern w:val="0"/>
                <w:sz w:val="18"/>
                <w:szCs w:val="18"/>
              </w:rPr>
              <w:t>按销售渠道分类</w:t>
            </w:r>
          </w:p>
        </w:tc>
        <w:tc>
          <w:tcPr>
            <w:tcW w:w="512"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22,121,097,000.91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21,633,558,055.36</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754,872.50 </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195,920,780.92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213,936,663.38 </w:t>
            </w:r>
          </w:p>
        </w:tc>
        <w:tc>
          <w:tcPr>
            <w:tcW w:w="43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218,334,700.63 </w:t>
            </w:r>
          </w:p>
        </w:tc>
        <w:tc>
          <w:tcPr>
            <w:tcW w:w="365"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 xml:space="preserve">296,579,077.19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 xml:space="preserve">22729474852.76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bCs/>
                <w:sz w:val="18"/>
                <w:szCs w:val="18"/>
              </w:rPr>
              <w:t>22,144,828,668.43</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 xml:space="preserve">　其中：</w:t>
            </w:r>
          </w:p>
        </w:tc>
        <w:tc>
          <w:tcPr>
            <w:tcW w:w="512" w:type="pct"/>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440"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585"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7"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8"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6"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9"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5" w:type="pct"/>
            <w:shd w:val="clear" w:color="auto" w:fill="auto"/>
            <w:vAlign w:val="center"/>
          </w:tcPr>
          <w:p w:rsidR="00403CD6" w:rsidRDefault="00E91A59">
            <w:pPr>
              <w:widowControl/>
              <w:spacing w:before="100" w:beforeAutospacing="1" w:after="100" w:afterAutospacing="1"/>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经销</w:t>
            </w:r>
          </w:p>
        </w:tc>
        <w:tc>
          <w:tcPr>
            <w:tcW w:w="512"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16,965,016,680.69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16,675,644,976.42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3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36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16,965,016,680.69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16,675,644,976.42 </w:t>
            </w:r>
          </w:p>
        </w:tc>
      </w:tr>
      <w:tr w:rsidR="00403CD6">
        <w:trPr>
          <w:trHeight w:val="284"/>
        </w:trPr>
        <w:tc>
          <w:tcPr>
            <w:tcW w:w="599"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直销</w:t>
            </w:r>
          </w:p>
        </w:tc>
        <w:tc>
          <w:tcPr>
            <w:tcW w:w="512"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5,156,080,320.22 </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4,957,913,078.94 </w:t>
            </w:r>
          </w:p>
        </w:tc>
        <w:tc>
          <w:tcPr>
            <w:tcW w:w="585"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194,122,370.30 </w:t>
            </w:r>
          </w:p>
        </w:tc>
        <w:tc>
          <w:tcPr>
            <w:tcW w:w="367"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 xml:space="preserve">754,872.50 </w:t>
            </w:r>
          </w:p>
        </w:tc>
        <w:tc>
          <w:tcPr>
            <w:tcW w:w="438"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195,920,780.92</w:t>
            </w:r>
          </w:p>
        </w:tc>
        <w:tc>
          <w:tcPr>
            <w:tcW w:w="366"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213,936,663.38 </w:t>
            </w:r>
          </w:p>
        </w:tc>
        <w:tc>
          <w:tcPr>
            <w:tcW w:w="439"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bCs/>
                <w:sz w:val="18"/>
                <w:szCs w:val="18"/>
              </w:rPr>
              <w:t xml:space="preserve">218,334,700.63 </w:t>
            </w:r>
          </w:p>
        </w:tc>
        <w:tc>
          <w:tcPr>
            <w:tcW w:w="365" w:type="pct"/>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bCs/>
                <w:sz w:val="18"/>
                <w:szCs w:val="18"/>
              </w:rPr>
            </w:pPr>
            <w:r>
              <w:rPr>
                <w:rFonts w:ascii="Times New Roman" w:hAnsi="Times New Roman" w:cs="Times New Roman"/>
                <w:bCs/>
                <w:sz w:val="18"/>
                <w:szCs w:val="18"/>
              </w:rPr>
              <w:t>296,579,077.19</w:t>
            </w:r>
          </w:p>
        </w:tc>
        <w:tc>
          <w:tcPr>
            <w:tcW w:w="44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5,764,458,172.07 </w:t>
            </w:r>
          </w:p>
        </w:tc>
        <w:tc>
          <w:tcPr>
            <w:tcW w:w="449"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bCs/>
                <w:kern w:val="0"/>
                <w:sz w:val="18"/>
                <w:szCs w:val="18"/>
              </w:rPr>
            </w:pPr>
            <w:r>
              <w:rPr>
                <w:rFonts w:ascii="Times New Roman" w:hAnsi="Times New Roman" w:cs="Times New Roman"/>
                <w:sz w:val="18"/>
                <w:szCs w:val="18"/>
              </w:rPr>
              <w:t xml:space="preserve">5,469,183,692.01 </w:t>
            </w:r>
          </w:p>
        </w:tc>
      </w:tr>
    </w:tbl>
    <w:p w:rsidR="00403CD6" w:rsidRDefault="00403CD6">
      <w:pPr>
        <w:autoSpaceDE w:val="0"/>
        <w:autoSpaceDN w:val="0"/>
        <w:adjustRightInd w:val="0"/>
        <w:rPr>
          <w:rFonts w:ascii="Times New Roman" w:hAnsi="Times New Roman" w:cs="Times New Roman"/>
          <w:kern w:val="0"/>
          <w:sz w:val="18"/>
          <w:szCs w:val="18"/>
          <w:lang w:val="zh-CN"/>
        </w:rPr>
      </w:pPr>
    </w:p>
    <w:p w:rsidR="00403CD6" w:rsidRDefault="00E91A59">
      <w:pPr>
        <w:autoSpaceDE w:val="0"/>
        <w:autoSpaceDN w:val="0"/>
        <w:adjustRightInd w:val="0"/>
        <w:rPr>
          <w:rFonts w:ascii="Times New Roman" w:hAnsi="Times New Roman" w:cs="Times New Roman"/>
          <w:kern w:val="0"/>
          <w:sz w:val="18"/>
          <w:szCs w:val="18"/>
          <w:lang w:val="zh-CN"/>
        </w:rPr>
      </w:pPr>
      <w:r>
        <w:rPr>
          <w:rFonts w:ascii="Times New Roman" w:hAnsi="Times New Roman" w:cs="Times New Roman"/>
          <w:kern w:val="0"/>
          <w:sz w:val="18"/>
          <w:szCs w:val="18"/>
          <w:lang w:val="zh-CN"/>
        </w:rPr>
        <w:t>主营业务收入分解信息</w:t>
      </w:r>
    </w:p>
    <w:p w:rsidR="00403CD6" w:rsidRDefault="00E91A59">
      <w:pPr>
        <w:pStyle w:val="af1"/>
        <w:numPr>
          <w:ilvl w:val="0"/>
          <w:numId w:val="2"/>
        </w:numPr>
        <w:autoSpaceDE w:val="0"/>
        <w:autoSpaceDN w:val="0"/>
        <w:adjustRightInd w:val="0"/>
        <w:ind w:firstLineChars="0"/>
        <w:rPr>
          <w:rFonts w:ascii="Times New Roman" w:hAnsi="Times New Roman" w:cs="Times New Roman"/>
          <w:kern w:val="0"/>
          <w:sz w:val="18"/>
          <w:szCs w:val="18"/>
          <w:lang w:val="zh-CN"/>
        </w:rPr>
      </w:pPr>
      <w:r>
        <w:rPr>
          <w:rFonts w:ascii="Times New Roman" w:hAnsi="Times New Roman" w:cs="Times New Roman"/>
          <w:kern w:val="0"/>
          <w:sz w:val="18"/>
          <w:szCs w:val="18"/>
          <w:lang w:val="zh-CN"/>
        </w:rPr>
        <w:t>按行业分解</w:t>
      </w:r>
    </w:p>
    <w:p w:rsidR="00403CD6" w:rsidRDefault="00E91A59">
      <w:pPr>
        <w:pStyle w:val="af1"/>
        <w:spacing w:before="40" w:after="40" w:line="240" w:lineRule="exact"/>
        <w:ind w:left="360" w:right="90" w:firstLineChars="0" w:firstLine="0"/>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2"/>
        <w:gridCol w:w="2048"/>
        <w:gridCol w:w="2047"/>
        <w:gridCol w:w="2047"/>
        <w:gridCol w:w="2049"/>
      </w:tblGrid>
      <w:tr w:rsidR="00403CD6">
        <w:trPr>
          <w:trHeight w:val="285"/>
        </w:trPr>
        <w:tc>
          <w:tcPr>
            <w:tcW w:w="843" w:type="pct"/>
            <w:vMerge w:val="restar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行业名称</w:t>
            </w:r>
          </w:p>
        </w:tc>
        <w:tc>
          <w:tcPr>
            <w:tcW w:w="2078" w:type="pct"/>
            <w:gridSpan w:val="2"/>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本年发生额</w:t>
            </w:r>
          </w:p>
        </w:tc>
        <w:tc>
          <w:tcPr>
            <w:tcW w:w="2079" w:type="pct"/>
            <w:gridSpan w:val="2"/>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上年发生额</w:t>
            </w:r>
          </w:p>
        </w:tc>
      </w:tr>
      <w:tr w:rsidR="00403CD6">
        <w:trPr>
          <w:trHeight w:val="285"/>
        </w:trPr>
        <w:tc>
          <w:tcPr>
            <w:tcW w:w="843" w:type="pct"/>
            <w:vMerge/>
            <w:vAlign w:val="center"/>
          </w:tcPr>
          <w:p w:rsidR="00403CD6" w:rsidRDefault="00403CD6">
            <w:pPr>
              <w:widowControl/>
              <w:rPr>
                <w:rFonts w:ascii="宋体" w:eastAsia="宋体" w:hAnsi="宋体" w:cs="宋体"/>
                <w:kern w:val="0"/>
                <w:sz w:val="18"/>
                <w:szCs w:val="18"/>
              </w:rPr>
            </w:pPr>
          </w:p>
        </w:tc>
        <w:tc>
          <w:tcPr>
            <w:tcW w:w="1039"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收入</w:t>
            </w:r>
          </w:p>
        </w:tc>
        <w:tc>
          <w:tcPr>
            <w:tcW w:w="1039"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成本</w:t>
            </w:r>
          </w:p>
        </w:tc>
        <w:tc>
          <w:tcPr>
            <w:tcW w:w="1039"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收入</w:t>
            </w:r>
          </w:p>
        </w:tc>
        <w:tc>
          <w:tcPr>
            <w:tcW w:w="1040"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成本</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机制纸</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20,179,848,508.57</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19,870,513,391.35</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23,892,883,773.10</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22,038,839,089.61</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化学浆</w:t>
            </w:r>
          </w:p>
        </w:tc>
        <w:tc>
          <w:tcPr>
            <w:tcW w:w="1039"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1,519,262,130.75</w:t>
            </w:r>
          </w:p>
        </w:tc>
        <w:tc>
          <w:tcPr>
            <w:tcW w:w="1039" w:type="pct"/>
            <w:shd w:val="clear" w:color="auto" w:fill="auto"/>
            <w:vAlign w:val="center"/>
          </w:tcPr>
          <w:p w:rsidR="00403CD6" w:rsidRDefault="00E91A59">
            <w:pPr>
              <w:widowControl/>
              <w:jc w:val="right"/>
              <w:rPr>
                <w:rFonts w:ascii="Times New Roman" w:eastAsia="宋体" w:hAnsi="Times New Roman" w:cs="Times New Roman"/>
                <w:bCs/>
                <w:kern w:val="0"/>
                <w:sz w:val="18"/>
                <w:szCs w:val="18"/>
              </w:rPr>
            </w:pPr>
            <w:r>
              <w:rPr>
                <w:rFonts w:ascii="Times New Roman" w:eastAsia="宋体" w:hAnsi="Times New Roman" w:cs="Times New Roman"/>
                <w:bCs/>
                <w:kern w:val="0"/>
                <w:sz w:val="18"/>
                <w:szCs w:val="18"/>
              </w:rPr>
              <w:t>1,370,195,011.59</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551,886,319.48</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549,401,517.97</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电力及热力</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216,763,239.54</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259,600,886.37</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223,450,300.54</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212,089,570.22</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酒店及物业租金</w:t>
            </w:r>
          </w:p>
        </w:tc>
        <w:tc>
          <w:tcPr>
            <w:tcW w:w="103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193,494,961.95</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213,050,117.25</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212,364,573.64</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202,364,469.60</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建筑材料</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127,783,427.12</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135,982,330.21</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222,788,884.78</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216,481,504.04</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造纸化工用品</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88,627,247.45</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76,919,302.04</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128,495,469.03</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118,581,502.40</w:t>
            </w:r>
          </w:p>
        </w:tc>
      </w:tr>
      <w:tr w:rsidR="00403CD6">
        <w:trPr>
          <w:trHeight w:val="319"/>
        </w:trPr>
        <w:tc>
          <w:tcPr>
            <w:tcW w:w="84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其他</w:t>
            </w:r>
          </w:p>
        </w:tc>
        <w:tc>
          <w:tcPr>
            <w:tcW w:w="1039" w:type="pct"/>
            <w:shd w:val="clear" w:color="auto" w:fill="auto"/>
            <w:vAlign w:val="center"/>
          </w:tcPr>
          <w:p w:rsidR="00403CD6" w:rsidRDefault="001326E2">
            <w:pPr>
              <w:widowControl/>
              <w:jc w:val="right"/>
              <w:rPr>
                <w:rFonts w:ascii="Times New Roman" w:eastAsia="宋体" w:hAnsi="Times New Roman" w:cs="Times New Roman"/>
                <w:kern w:val="0"/>
                <w:sz w:val="18"/>
                <w:szCs w:val="18"/>
              </w:rPr>
            </w:pPr>
            <w:r w:rsidRPr="001326E2">
              <w:rPr>
                <w:rFonts w:ascii="Times New Roman" w:hAnsi="Times New Roman" w:cs="Times New Roman"/>
                <w:sz w:val="18"/>
                <w:szCs w:val="18"/>
              </w:rPr>
              <w:t>276,255,029.48</w:t>
            </w:r>
          </w:p>
        </w:tc>
        <w:tc>
          <w:tcPr>
            <w:tcW w:w="1039" w:type="pct"/>
            <w:shd w:val="clear" w:color="auto" w:fill="auto"/>
            <w:vAlign w:val="center"/>
          </w:tcPr>
          <w:p w:rsidR="00403CD6" w:rsidRDefault="001326E2">
            <w:pPr>
              <w:widowControl/>
              <w:jc w:val="right"/>
              <w:rPr>
                <w:rFonts w:ascii="Times New Roman" w:eastAsia="宋体" w:hAnsi="Times New Roman" w:cs="Times New Roman"/>
                <w:kern w:val="0"/>
                <w:sz w:val="18"/>
                <w:szCs w:val="18"/>
              </w:rPr>
            </w:pPr>
            <w:r w:rsidRPr="001326E2">
              <w:rPr>
                <w:rFonts w:ascii="Times New Roman" w:hAnsi="Times New Roman" w:cs="Times New Roman"/>
                <w:sz w:val="18"/>
                <w:szCs w:val="18"/>
              </w:rPr>
              <w:t>159,404,284.70</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1,136,763,904.91</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903,711,684.31</w:t>
            </w:r>
          </w:p>
        </w:tc>
      </w:tr>
      <w:tr w:rsidR="00403CD6">
        <w:trPr>
          <w:trHeight w:val="319"/>
        </w:trPr>
        <w:tc>
          <w:tcPr>
            <w:tcW w:w="843" w:type="pct"/>
            <w:shd w:val="clear" w:color="auto" w:fill="D9D9D9" w:themeFill="background1" w:themeFillShade="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合计</w:t>
            </w:r>
          </w:p>
        </w:tc>
        <w:tc>
          <w:tcPr>
            <w:tcW w:w="1039" w:type="pct"/>
            <w:shd w:val="clear" w:color="auto" w:fill="auto"/>
            <w:vAlign w:val="center"/>
          </w:tcPr>
          <w:p w:rsidR="00403CD6" w:rsidRDefault="001326E2">
            <w:pPr>
              <w:widowControl/>
              <w:jc w:val="right"/>
              <w:rPr>
                <w:rFonts w:ascii="Times New Roman" w:eastAsia="宋体" w:hAnsi="Times New Roman" w:cs="Times New Roman"/>
                <w:kern w:val="0"/>
                <w:sz w:val="18"/>
                <w:szCs w:val="18"/>
              </w:rPr>
            </w:pPr>
            <w:r w:rsidRPr="001326E2">
              <w:rPr>
                <w:rFonts w:ascii="Times New Roman" w:hAnsi="Times New Roman" w:cs="Times New Roman"/>
                <w:sz w:val="18"/>
                <w:szCs w:val="18"/>
              </w:rPr>
              <w:t>22,602,034,544.86</w:t>
            </w:r>
          </w:p>
        </w:tc>
        <w:tc>
          <w:tcPr>
            <w:tcW w:w="1039" w:type="pct"/>
            <w:shd w:val="clear" w:color="auto" w:fill="auto"/>
            <w:vAlign w:val="center"/>
          </w:tcPr>
          <w:p w:rsidR="00403CD6" w:rsidRDefault="001326E2">
            <w:pPr>
              <w:widowControl/>
              <w:jc w:val="right"/>
              <w:rPr>
                <w:rFonts w:ascii="Times New Roman" w:eastAsia="宋体" w:hAnsi="Times New Roman" w:cs="Times New Roman"/>
                <w:kern w:val="0"/>
                <w:sz w:val="18"/>
                <w:szCs w:val="18"/>
              </w:rPr>
            </w:pPr>
            <w:r w:rsidRPr="001326E2">
              <w:rPr>
                <w:rFonts w:ascii="Times New Roman" w:hAnsi="Times New Roman" w:cs="Times New Roman"/>
                <w:sz w:val="18"/>
                <w:szCs w:val="18"/>
              </w:rPr>
              <w:t>22,085,665,323.51</w:t>
            </w:r>
          </w:p>
        </w:tc>
        <w:tc>
          <w:tcPr>
            <w:tcW w:w="1039"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26,368,633,225.48</w:t>
            </w:r>
          </w:p>
        </w:tc>
        <w:tc>
          <w:tcPr>
            <w:tcW w:w="104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24,241,469,338.15</w:t>
            </w:r>
          </w:p>
        </w:tc>
      </w:tr>
    </w:tbl>
    <w:p w:rsidR="00403CD6" w:rsidRDefault="00403CD6">
      <w:pPr>
        <w:spacing w:before="40" w:after="40" w:line="240" w:lineRule="exact"/>
        <w:jc w:val="right"/>
        <w:rPr>
          <w:rFonts w:ascii="Times New Roman" w:hAnsi="Times New Roman" w:cs="Times New Roman"/>
          <w:sz w:val="18"/>
          <w:szCs w:val="18"/>
        </w:rPr>
      </w:pPr>
    </w:p>
    <w:p w:rsidR="00403CD6" w:rsidRDefault="00E91A59">
      <w:pPr>
        <w:pStyle w:val="af1"/>
        <w:numPr>
          <w:ilvl w:val="0"/>
          <w:numId w:val="2"/>
        </w:numPr>
        <w:autoSpaceDE w:val="0"/>
        <w:autoSpaceDN w:val="0"/>
        <w:adjustRightInd w:val="0"/>
        <w:ind w:firstLineChars="0"/>
        <w:rPr>
          <w:rFonts w:ascii="Times New Roman" w:hAnsi="Times New Roman" w:cs="Times New Roman"/>
          <w:kern w:val="0"/>
          <w:sz w:val="18"/>
          <w:szCs w:val="18"/>
          <w:lang w:val="zh-CN"/>
        </w:rPr>
      </w:pPr>
      <w:r>
        <w:rPr>
          <w:rFonts w:ascii="Times New Roman" w:hAnsi="Times New Roman" w:cs="Times New Roman"/>
          <w:kern w:val="0"/>
          <w:sz w:val="18"/>
          <w:szCs w:val="18"/>
          <w:lang w:val="zh-CN"/>
        </w:rPr>
        <w:t>机制纸按主要产品类型分解</w:t>
      </w:r>
    </w:p>
    <w:p w:rsidR="00403CD6" w:rsidRDefault="00E91A59">
      <w:pPr>
        <w:pStyle w:val="af1"/>
        <w:autoSpaceDE w:val="0"/>
        <w:autoSpaceDN w:val="0"/>
        <w:adjustRightInd w:val="0"/>
        <w:ind w:left="360" w:firstLineChars="0" w:firstLine="0"/>
        <w:jc w:val="right"/>
        <w:rPr>
          <w:rFonts w:ascii="Times New Roman" w:hAnsi="Times New Roman" w:cs="Times New Roman"/>
          <w:kern w:val="0"/>
          <w:sz w:val="18"/>
          <w:szCs w:val="18"/>
          <w:lang w:val="zh-CN"/>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0"/>
        <w:gridCol w:w="2237"/>
        <w:gridCol w:w="2268"/>
        <w:gridCol w:w="1906"/>
        <w:gridCol w:w="1742"/>
      </w:tblGrid>
      <w:tr w:rsidR="00403CD6">
        <w:trPr>
          <w:trHeight w:val="285"/>
        </w:trPr>
        <w:tc>
          <w:tcPr>
            <w:tcW w:w="863" w:type="pct"/>
            <w:vMerge w:val="restar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行业名称</w:t>
            </w:r>
          </w:p>
        </w:tc>
        <w:tc>
          <w:tcPr>
            <w:tcW w:w="2286" w:type="pct"/>
            <w:gridSpan w:val="2"/>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本年发生额</w:t>
            </w:r>
          </w:p>
        </w:tc>
        <w:tc>
          <w:tcPr>
            <w:tcW w:w="1852" w:type="pct"/>
            <w:gridSpan w:val="2"/>
            <w:shd w:val="clear" w:color="000000" w:fill="D9D9D9"/>
            <w:vAlign w:val="center"/>
          </w:tcPr>
          <w:p w:rsidR="00403CD6" w:rsidRDefault="00E91A59">
            <w:pPr>
              <w:widowControl/>
              <w:jc w:val="center"/>
              <w:rPr>
                <w:rFonts w:ascii="宋体" w:eastAsia="宋体" w:hAnsi="宋体" w:cs="宋体"/>
                <w:bCs/>
                <w:kern w:val="0"/>
                <w:sz w:val="18"/>
                <w:szCs w:val="18"/>
              </w:rPr>
            </w:pPr>
            <w:r>
              <w:rPr>
                <w:rFonts w:ascii="宋体" w:eastAsia="宋体" w:hAnsi="宋体" w:cs="宋体" w:hint="eastAsia"/>
                <w:bCs/>
                <w:kern w:val="0"/>
                <w:sz w:val="18"/>
                <w:szCs w:val="18"/>
              </w:rPr>
              <w:t>上年发生额</w:t>
            </w:r>
          </w:p>
        </w:tc>
      </w:tr>
      <w:tr w:rsidR="00403CD6">
        <w:trPr>
          <w:trHeight w:val="285"/>
        </w:trPr>
        <w:tc>
          <w:tcPr>
            <w:tcW w:w="863" w:type="pct"/>
            <w:vMerge/>
            <w:vAlign w:val="center"/>
          </w:tcPr>
          <w:p w:rsidR="00403CD6" w:rsidRDefault="00403CD6">
            <w:pPr>
              <w:widowControl/>
              <w:rPr>
                <w:rFonts w:ascii="宋体" w:eastAsia="宋体" w:hAnsi="宋体" w:cs="宋体"/>
                <w:kern w:val="0"/>
                <w:sz w:val="18"/>
                <w:szCs w:val="18"/>
              </w:rPr>
            </w:pPr>
          </w:p>
        </w:tc>
        <w:tc>
          <w:tcPr>
            <w:tcW w:w="1135"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收入</w:t>
            </w:r>
          </w:p>
        </w:tc>
        <w:tc>
          <w:tcPr>
            <w:tcW w:w="1150"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成本</w:t>
            </w:r>
          </w:p>
        </w:tc>
        <w:tc>
          <w:tcPr>
            <w:tcW w:w="967" w:type="pct"/>
            <w:shd w:val="clear" w:color="000000" w:fill="D9D9D9"/>
            <w:vAlign w:val="center"/>
          </w:tcPr>
          <w:p w:rsidR="00403CD6" w:rsidRDefault="00E91A59">
            <w:pPr>
              <w:widowControl/>
              <w:jc w:val="center"/>
              <w:rPr>
                <w:rFonts w:ascii="宋体" w:eastAsia="宋体" w:hAnsi="宋体" w:cs="宋体"/>
                <w:bCs/>
                <w:kern w:val="0"/>
                <w:sz w:val="18"/>
                <w:szCs w:val="18"/>
              </w:rPr>
            </w:pPr>
            <w:r>
              <w:rPr>
                <w:rFonts w:ascii="宋体" w:eastAsia="宋体" w:hAnsi="宋体" w:cs="宋体" w:hint="eastAsia"/>
                <w:bCs/>
                <w:kern w:val="0"/>
                <w:sz w:val="18"/>
                <w:szCs w:val="18"/>
              </w:rPr>
              <w:t>收入</w:t>
            </w:r>
          </w:p>
        </w:tc>
        <w:tc>
          <w:tcPr>
            <w:tcW w:w="885" w:type="pct"/>
            <w:shd w:val="clear" w:color="000000" w:fill="D9D9D9"/>
            <w:vAlign w:val="center"/>
          </w:tcPr>
          <w:p w:rsidR="00403CD6" w:rsidRDefault="00E91A59">
            <w:pPr>
              <w:widowControl/>
              <w:jc w:val="center"/>
              <w:rPr>
                <w:rFonts w:ascii="宋体" w:eastAsia="宋体" w:hAnsi="宋体" w:cs="宋体"/>
                <w:bCs/>
                <w:kern w:val="0"/>
                <w:sz w:val="18"/>
                <w:szCs w:val="18"/>
              </w:rPr>
            </w:pPr>
            <w:r>
              <w:rPr>
                <w:rFonts w:ascii="宋体" w:eastAsia="宋体" w:hAnsi="宋体" w:cs="宋体" w:hint="eastAsia"/>
                <w:bCs/>
                <w:kern w:val="0"/>
                <w:sz w:val="18"/>
                <w:szCs w:val="18"/>
              </w:rPr>
              <w:t>成本</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双胶纸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6,117,888,314.70</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5,767,014,322.77</w:t>
            </w:r>
          </w:p>
        </w:tc>
        <w:tc>
          <w:tcPr>
            <w:tcW w:w="96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7,702,426,452.75</w:t>
            </w:r>
          </w:p>
        </w:tc>
        <w:tc>
          <w:tcPr>
            <w:tcW w:w="88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6,929,011,543.24</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白卡纸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4,553,056,974.25</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5,140,713,897.07</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5,477,558,929.56</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5,673,086,405.12</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铜版纸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3,758,928,113.95</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3,263,366,438.24</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3,925,663,395.23</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3,389,639,629.49</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静电纸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3,547,162,310.53</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3,146,628,608.35</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4,005,559,008.36</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3,410,527,141.51</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防粘原纸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909,489,122.98</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772,483,237.25</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1,127,626,969.18</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947,141,370.39</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热敏纸</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432,929,902.58</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422,071,788.54</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553,666,757.69</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484,068,025.05</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其他</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860,393,769.58</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814,075,382.06</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1,100,382,260.33</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1,032,967,683.96</w:t>
            </w:r>
          </w:p>
        </w:tc>
      </w:tr>
      <w:tr w:rsidR="00403CD6">
        <w:trPr>
          <w:trHeight w:val="285"/>
        </w:trPr>
        <w:tc>
          <w:tcPr>
            <w:tcW w:w="863" w:type="pct"/>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停工损失</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544,159,717.07</w:t>
            </w:r>
          </w:p>
        </w:tc>
        <w:tc>
          <w:tcPr>
            <w:tcW w:w="967" w:type="pct"/>
            <w:shd w:val="clear" w:color="auto" w:fill="auto"/>
            <w:vAlign w:val="center"/>
          </w:tcPr>
          <w:p w:rsidR="00403CD6" w:rsidRDefault="00E91A59">
            <w:pPr>
              <w:widowControl/>
              <w:jc w:val="right"/>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172,397,290.85</w:t>
            </w:r>
          </w:p>
        </w:tc>
      </w:tr>
      <w:tr w:rsidR="00403CD6">
        <w:trPr>
          <w:trHeight w:val="285"/>
        </w:trPr>
        <w:tc>
          <w:tcPr>
            <w:tcW w:w="863" w:type="pct"/>
            <w:shd w:val="clear" w:color="auto" w:fill="D9D9D9" w:themeFill="background1" w:themeFillShade="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合计</w:t>
            </w:r>
          </w:p>
        </w:tc>
        <w:tc>
          <w:tcPr>
            <w:tcW w:w="1135"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20,179,848,508.57</w:t>
            </w:r>
          </w:p>
        </w:tc>
        <w:tc>
          <w:tcPr>
            <w:tcW w:w="1150"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19,870,513,391.3</w:t>
            </w:r>
            <w:r>
              <w:rPr>
                <w:rFonts w:ascii="Times New Roman" w:eastAsia="宋体" w:hAnsi="Times New Roman" w:cs="Times New Roman" w:hint="eastAsia"/>
                <w:kern w:val="0"/>
                <w:sz w:val="18"/>
                <w:szCs w:val="18"/>
              </w:rPr>
              <w:t>5</w:t>
            </w:r>
          </w:p>
        </w:tc>
        <w:tc>
          <w:tcPr>
            <w:tcW w:w="967"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23,892,883,773.10</w:t>
            </w:r>
          </w:p>
        </w:tc>
        <w:tc>
          <w:tcPr>
            <w:tcW w:w="885"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22,038,839,089.61</w:t>
            </w:r>
          </w:p>
        </w:tc>
      </w:tr>
    </w:tbl>
    <w:p w:rsidR="00403CD6" w:rsidRDefault="00E91A59">
      <w:pPr>
        <w:pStyle w:val="af1"/>
        <w:numPr>
          <w:ilvl w:val="0"/>
          <w:numId w:val="2"/>
        </w:numPr>
        <w:autoSpaceDE w:val="0"/>
        <w:autoSpaceDN w:val="0"/>
        <w:adjustRightInd w:val="0"/>
        <w:ind w:firstLineChars="0"/>
        <w:rPr>
          <w:rFonts w:ascii="Times New Roman" w:hAnsi="Times New Roman" w:cs="Times New Roman"/>
          <w:kern w:val="0"/>
          <w:sz w:val="18"/>
          <w:szCs w:val="18"/>
          <w:lang w:val="zh-CN"/>
        </w:rPr>
      </w:pPr>
      <w:r>
        <w:rPr>
          <w:rFonts w:ascii="Times New Roman" w:hAnsi="Times New Roman" w:cs="Times New Roman"/>
          <w:kern w:val="0"/>
          <w:sz w:val="18"/>
          <w:szCs w:val="18"/>
          <w:lang w:val="zh-CN"/>
        </w:rPr>
        <w:t>机制纸按地区分解</w:t>
      </w:r>
    </w:p>
    <w:p w:rsidR="00403CD6" w:rsidRDefault="00E91A59">
      <w:pPr>
        <w:pStyle w:val="af1"/>
        <w:autoSpaceDE w:val="0"/>
        <w:autoSpaceDN w:val="0"/>
        <w:adjustRightInd w:val="0"/>
        <w:ind w:left="360" w:firstLineChars="0" w:firstLine="0"/>
        <w:jc w:val="right"/>
        <w:rPr>
          <w:rFonts w:ascii="Times New Roman" w:hAnsi="Times New Roman" w:cs="Times New Roman"/>
          <w:kern w:val="0"/>
          <w:sz w:val="18"/>
          <w:szCs w:val="18"/>
          <w:lang w:val="zh-CN"/>
        </w:rPr>
      </w:pPr>
      <w:r>
        <w:rPr>
          <w:rFonts w:ascii="Times New Roman" w:hAnsi="Times New Roman" w:cs="Times New Roman"/>
          <w:sz w:val="18"/>
          <w:szCs w:val="18"/>
        </w:rPr>
        <w:t>单位：元</w:t>
      </w:r>
    </w:p>
    <w:tbl>
      <w:tblPr>
        <w:tblW w:w="5000" w:type="pct"/>
        <w:tblLayout w:type="fixed"/>
        <w:tblLook w:val="04A0" w:firstRow="1" w:lastRow="0" w:firstColumn="1" w:lastColumn="0" w:noHBand="0" w:noVBand="1"/>
      </w:tblPr>
      <w:tblGrid>
        <w:gridCol w:w="1700"/>
        <w:gridCol w:w="2237"/>
        <w:gridCol w:w="2268"/>
        <w:gridCol w:w="1906"/>
        <w:gridCol w:w="1742"/>
      </w:tblGrid>
      <w:tr w:rsidR="00403CD6">
        <w:trPr>
          <w:trHeight w:val="285"/>
        </w:trPr>
        <w:tc>
          <w:tcPr>
            <w:tcW w:w="863" w:type="pct"/>
            <w:vMerge w:val="restart"/>
            <w:tcBorders>
              <w:top w:val="single" w:sz="8" w:space="0" w:color="auto"/>
              <w:left w:val="single" w:sz="8" w:space="0" w:color="auto"/>
              <w:bottom w:val="single" w:sz="8" w:space="0" w:color="000000"/>
              <w:right w:val="single" w:sz="8"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行业名称</w:t>
            </w:r>
          </w:p>
        </w:tc>
        <w:tc>
          <w:tcPr>
            <w:tcW w:w="2286" w:type="pct"/>
            <w:gridSpan w:val="2"/>
            <w:tcBorders>
              <w:top w:val="single" w:sz="8" w:space="0" w:color="auto"/>
              <w:left w:val="nil"/>
              <w:bottom w:val="single" w:sz="8" w:space="0" w:color="auto"/>
              <w:right w:val="single" w:sz="8" w:space="0" w:color="000000"/>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本年发生额</w:t>
            </w:r>
          </w:p>
        </w:tc>
        <w:tc>
          <w:tcPr>
            <w:tcW w:w="1852" w:type="pct"/>
            <w:gridSpan w:val="2"/>
            <w:tcBorders>
              <w:top w:val="single" w:sz="8" w:space="0" w:color="auto"/>
              <w:left w:val="nil"/>
              <w:bottom w:val="single" w:sz="8" w:space="0" w:color="auto"/>
              <w:right w:val="single" w:sz="8" w:space="0" w:color="000000"/>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上年发生额</w:t>
            </w:r>
          </w:p>
        </w:tc>
      </w:tr>
      <w:tr w:rsidR="00403CD6">
        <w:trPr>
          <w:trHeight w:val="285"/>
        </w:trPr>
        <w:tc>
          <w:tcPr>
            <w:tcW w:w="863" w:type="pct"/>
            <w:vMerge/>
            <w:tcBorders>
              <w:top w:val="single" w:sz="8" w:space="0" w:color="auto"/>
              <w:left w:val="single" w:sz="8" w:space="0" w:color="auto"/>
              <w:bottom w:val="single" w:sz="8" w:space="0" w:color="000000"/>
              <w:right w:val="single" w:sz="8" w:space="0" w:color="auto"/>
            </w:tcBorders>
            <w:vAlign w:val="center"/>
          </w:tcPr>
          <w:p w:rsidR="00403CD6" w:rsidRDefault="00403CD6">
            <w:pPr>
              <w:widowControl/>
              <w:rPr>
                <w:rFonts w:ascii="宋体" w:eastAsia="宋体" w:hAnsi="宋体" w:cs="宋体"/>
                <w:kern w:val="0"/>
                <w:sz w:val="18"/>
                <w:szCs w:val="18"/>
              </w:rPr>
            </w:pPr>
          </w:p>
        </w:tc>
        <w:tc>
          <w:tcPr>
            <w:tcW w:w="1135" w:type="pct"/>
            <w:tcBorders>
              <w:top w:val="nil"/>
              <w:left w:val="nil"/>
              <w:bottom w:val="single" w:sz="8" w:space="0" w:color="auto"/>
              <w:right w:val="single" w:sz="8"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收入</w:t>
            </w:r>
          </w:p>
        </w:tc>
        <w:tc>
          <w:tcPr>
            <w:tcW w:w="1150" w:type="pct"/>
            <w:tcBorders>
              <w:top w:val="nil"/>
              <w:left w:val="nil"/>
              <w:bottom w:val="single" w:sz="8" w:space="0" w:color="auto"/>
              <w:right w:val="single" w:sz="8"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成本</w:t>
            </w:r>
          </w:p>
        </w:tc>
        <w:tc>
          <w:tcPr>
            <w:tcW w:w="967" w:type="pct"/>
            <w:tcBorders>
              <w:top w:val="nil"/>
              <w:left w:val="nil"/>
              <w:bottom w:val="single" w:sz="8" w:space="0" w:color="auto"/>
              <w:right w:val="single" w:sz="8"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收入</w:t>
            </w:r>
          </w:p>
        </w:tc>
        <w:tc>
          <w:tcPr>
            <w:tcW w:w="885" w:type="pct"/>
            <w:tcBorders>
              <w:top w:val="nil"/>
              <w:left w:val="nil"/>
              <w:bottom w:val="single" w:sz="8" w:space="0" w:color="auto"/>
              <w:right w:val="single" w:sz="8"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成本</w:t>
            </w:r>
          </w:p>
        </w:tc>
      </w:tr>
      <w:tr w:rsidR="00403CD6">
        <w:trPr>
          <w:trHeight w:val="285"/>
        </w:trPr>
        <w:tc>
          <w:tcPr>
            <w:tcW w:w="863" w:type="pct"/>
            <w:tcBorders>
              <w:top w:val="nil"/>
              <w:left w:val="single" w:sz="8" w:space="0" w:color="auto"/>
              <w:bottom w:val="single" w:sz="8" w:space="0" w:color="auto"/>
              <w:right w:val="single" w:sz="8"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中国大陆</w:t>
            </w:r>
          </w:p>
        </w:tc>
        <w:tc>
          <w:tcPr>
            <w:tcW w:w="113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15,532,435,260.5</w:t>
            </w:r>
            <w:r>
              <w:rPr>
                <w:rFonts w:ascii="Times New Roman" w:eastAsia="宋体" w:hAnsi="Times New Roman" w:cs="Times New Roman" w:hint="eastAsia"/>
                <w:kern w:val="0"/>
                <w:sz w:val="18"/>
                <w:szCs w:val="18"/>
              </w:rPr>
              <w:t>8</w:t>
            </w:r>
          </w:p>
        </w:tc>
        <w:tc>
          <w:tcPr>
            <w:tcW w:w="1150"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15,238,409,893.90</w:t>
            </w:r>
          </w:p>
        </w:tc>
        <w:tc>
          <w:tcPr>
            <w:tcW w:w="967"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17,366,661,577.26</w:t>
            </w:r>
          </w:p>
        </w:tc>
        <w:tc>
          <w:tcPr>
            <w:tcW w:w="88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15,915,850,731.09</w:t>
            </w:r>
          </w:p>
        </w:tc>
      </w:tr>
      <w:tr w:rsidR="00403CD6">
        <w:trPr>
          <w:trHeight w:val="285"/>
        </w:trPr>
        <w:tc>
          <w:tcPr>
            <w:tcW w:w="863" w:type="pct"/>
            <w:tcBorders>
              <w:top w:val="nil"/>
              <w:left w:val="single" w:sz="8" w:space="0" w:color="auto"/>
              <w:bottom w:val="single" w:sz="8" w:space="0" w:color="auto"/>
              <w:right w:val="single" w:sz="8"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其他国家和地区</w:t>
            </w:r>
          </w:p>
        </w:tc>
        <w:tc>
          <w:tcPr>
            <w:tcW w:w="113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4,647,413,247.99</w:t>
            </w:r>
          </w:p>
        </w:tc>
        <w:tc>
          <w:tcPr>
            <w:tcW w:w="1150"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4,632,103,497.45</w:t>
            </w:r>
          </w:p>
        </w:tc>
        <w:tc>
          <w:tcPr>
            <w:tcW w:w="967"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6,526,222,195.84</w:t>
            </w:r>
          </w:p>
        </w:tc>
        <w:tc>
          <w:tcPr>
            <w:tcW w:w="88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6,122,988,358.52</w:t>
            </w:r>
          </w:p>
        </w:tc>
      </w:tr>
      <w:tr w:rsidR="00403CD6">
        <w:trPr>
          <w:trHeight w:val="285"/>
        </w:trPr>
        <w:tc>
          <w:tcPr>
            <w:tcW w:w="863" w:type="pct"/>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合计</w:t>
            </w:r>
          </w:p>
        </w:tc>
        <w:tc>
          <w:tcPr>
            <w:tcW w:w="113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20,179,848,508.5</w:t>
            </w:r>
            <w:r>
              <w:rPr>
                <w:rFonts w:ascii="Times New Roman" w:eastAsia="宋体" w:hAnsi="Times New Roman" w:cs="Times New Roman" w:hint="eastAsia"/>
                <w:kern w:val="0"/>
                <w:sz w:val="18"/>
                <w:szCs w:val="18"/>
              </w:rPr>
              <w:t>7</w:t>
            </w:r>
          </w:p>
        </w:tc>
        <w:tc>
          <w:tcPr>
            <w:tcW w:w="1150" w:type="pct"/>
            <w:tcBorders>
              <w:top w:val="nil"/>
              <w:left w:val="nil"/>
              <w:bottom w:val="single" w:sz="8" w:space="0" w:color="auto"/>
              <w:right w:val="single" w:sz="8" w:space="0" w:color="auto"/>
            </w:tcBorders>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hAnsi="Times New Roman" w:cs="Times New Roman"/>
                <w:sz w:val="18"/>
                <w:szCs w:val="18"/>
              </w:rPr>
              <w:t>19,870,513,391.35</w:t>
            </w:r>
          </w:p>
          <w:p w:rsidR="00403CD6" w:rsidRDefault="00403CD6">
            <w:pPr>
              <w:widowControl/>
              <w:jc w:val="right"/>
              <w:rPr>
                <w:rFonts w:ascii="Times New Roman" w:eastAsia="宋体" w:hAnsi="Times New Roman" w:cs="Times New Roman"/>
                <w:kern w:val="0"/>
                <w:sz w:val="18"/>
                <w:szCs w:val="18"/>
              </w:rPr>
            </w:pPr>
          </w:p>
        </w:tc>
        <w:tc>
          <w:tcPr>
            <w:tcW w:w="967"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23,892,883,773.10</w:t>
            </w:r>
          </w:p>
        </w:tc>
        <w:tc>
          <w:tcPr>
            <w:tcW w:w="885" w:type="pct"/>
            <w:tcBorders>
              <w:top w:val="nil"/>
              <w:left w:val="nil"/>
              <w:bottom w:val="single" w:sz="8" w:space="0" w:color="auto"/>
              <w:right w:val="single" w:sz="8"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22,038,839,089.61</w:t>
            </w:r>
          </w:p>
        </w:tc>
      </w:tr>
    </w:tbl>
    <w:p w:rsidR="00403CD6" w:rsidRDefault="00E91A59">
      <w:pPr>
        <w:pStyle w:val="af1"/>
        <w:numPr>
          <w:ilvl w:val="0"/>
          <w:numId w:val="2"/>
        </w:numPr>
        <w:autoSpaceDE w:val="0"/>
        <w:autoSpaceDN w:val="0"/>
        <w:adjustRightInd w:val="0"/>
        <w:ind w:firstLineChars="0"/>
        <w:rPr>
          <w:rFonts w:ascii="Times New Roman" w:hAnsi="Times New Roman" w:cs="Times New Roman"/>
          <w:kern w:val="0"/>
          <w:sz w:val="18"/>
          <w:szCs w:val="18"/>
          <w:lang w:val="zh-CN"/>
        </w:rPr>
      </w:pPr>
      <w:r>
        <w:rPr>
          <w:rFonts w:ascii="Times New Roman" w:hAnsi="Times New Roman" w:cs="Times New Roman"/>
          <w:kern w:val="0"/>
          <w:sz w:val="18"/>
          <w:szCs w:val="18"/>
          <w:lang w:val="zh-CN"/>
        </w:rPr>
        <w:t>前五名客户的营业收入情况</w:t>
      </w:r>
    </w:p>
    <w:p w:rsidR="00403CD6" w:rsidRDefault="00E91A59">
      <w:pPr>
        <w:pStyle w:val="af1"/>
        <w:autoSpaceDE w:val="0"/>
        <w:autoSpaceDN w:val="0"/>
        <w:adjustRightInd w:val="0"/>
        <w:ind w:left="360" w:firstLineChars="0" w:firstLine="0"/>
        <w:jc w:val="right"/>
        <w:rPr>
          <w:rFonts w:ascii="Times New Roman" w:hAnsi="Times New Roman" w:cs="Times New Roman"/>
          <w:kern w:val="0"/>
          <w:sz w:val="18"/>
          <w:szCs w:val="18"/>
          <w:lang w:val="zh-CN"/>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86"/>
        <w:gridCol w:w="3553"/>
      </w:tblGrid>
      <w:tr w:rsidR="00403CD6">
        <w:trPr>
          <w:trHeight w:val="285"/>
        </w:trPr>
        <w:tc>
          <w:tcPr>
            <w:tcW w:w="1580"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期间</w:t>
            </w:r>
          </w:p>
        </w:tc>
        <w:tc>
          <w:tcPr>
            <w:tcW w:w="1617"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前五名客户营业收入合计</w:t>
            </w:r>
          </w:p>
        </w:tc>
        <w:tc>
          <w:tcPr>
            <w:tcW w:w="1803" w:type="pct"/>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占同期营业收入的比例</w:t>
            </w:r>
          </w:p>
        </w:tc>
      </w:tr>
      <w:tr w:rsidR="00403CD6">
        <w:trPr>
          <w:trHeight w:val="285"/>
        </w:trPr>
        <w:tc>
          <w:tcPr>
            <w:tcW w:w="1580" w:type="pct"/>
            <w:shd w:val="clear" w:color="auto" w:fill="auto"/>
            <w:vAlign w:val="center"/>
          </w:tcPr>
          <w:p w:rsidR="00403CD6" w:rsidRDefault="00E91A59">
            <w:pPr>
              <w:widowControl/>
              <w:jc w:val="both"/>
              <w:rPr>
                <w:rFonts w:ascii="Times New Roman" w:eastAsia="宋体" w:hAnsi="Times New Roman" w:cs="Times New Roman"/>
                <w:kern w:val="0"/>
                <w:sz w:val="18"/>
                <w:szCs w:val="18"/>
              </w:rPr>
            </w:pPr>
            <w:r>
              <w:rPr>
                <w:rFonts w:ascii="Times New Roman" w:eastAsia="宋体" w:hAnsi="Times New Roman" w:cs="Times New Roman"/>
                <w:kern w:val="0"/>
                <w:sz w:val="18"/>
                <w:szCs w:val="18"/>
              </w:rPr>
              <w:t>2024</w:t>
            </w:r>
            <w:r>
              <w:rPr>
                <w:rFonts w:ascii="宋体" w:eastAsia="宋体" w:hAnsi="宋体" w:cs="Times New Roman" w:hint="eastAsia"/>
                <w:kern w:val="0"/>
                <w:sz w:val="18"/>
                <w:szCs w:val="18"/>
              </w:rPr>
              <w:t>年</w:t>
            </w:r>
          </w:p>
        </w:tc>
        <w:tc>
          <w:tcPr>
            <w:tcW w:w="161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6,640,449,070.92</w:t>
            </w:r>
          </w:p>
        </w:tc>
        <w:tc>
          <w:tcPr>
            <w:tcW w:w="1803"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29.2</w:t>
            </w:r>
            <w:r>
              <w:rPr>
                <w:rFonts w:ascii="Times New Roman" w:eastAsia="宋体" w:hAnsi="Times New Roman" w:cs="Times New Roman" w:hint="eastAsia"/>
                <w:kern w:val="0"/>
                <w:sz w:val="18"/>
                <w:szCs w:val="18"/>
              </w:rPr>
              <w:t>2</w:t>
            </w:r>
            <w:r>
              <w:rPr>
                <w:rFonts w:ascii="Times New Roman" w:eastAsia="宋体" w:hAnsi="Times New Roman" w:cs="Times New Roman"/>
                <w:kern w:val="0"/>
                <w:sz w:val="18"/>
                <w:szCs w:val="18"/>
              </w:rPr>
              <w:t>%</w:t>
            </w:r>
          </w:p>
        </w:tc>
      </w:tr>
      <w:tr w:rsidR="00403CD6">
        <w:trPr>
          <w:trHeight w:val="285"/>
        </w:trPr>
        <w:tc>
          <w:tcPr>
            <w:tcW w:w="1580" w:type="pct"/>
            <w:shd w:val="clear" w:color="auto" w:fill="auto"/>
            <w:vAlign w:val="center"/>
          </w:tcPr>
          <w:p w:rsidR="00403CD6" w:rsidRDefault="00E91A59">
            <w:pPr>
              <w:widowControl/>
              <w:jc w:val="both"/>
              <w:rPr>
                <w:rFonts w:ascii="Times New Roman" w:eastAsia="宋体" w:hAnsi="Times New Roman" w:cs="Times New Roman"/>
                <w:kern w:val="0"/>
                <w:sz w:val="18"/>
                <w:szCs w:val="18"/>
              </w:rPr>
            </w:pPr>
            <w:r>
              <w:rPr>
                <w:rFonts w:ascii="Times New Roman" w:eastAsia="宋体" w:hAnsi="Times New Roman" w:cs="Times New Roman"/>
                <w:kern w:val="0"/>
                <w:sz w:val="18"/>
                <w:szCs w:val="18"/>
              </w:rPr>
              <w:t>2023</w:t>
            </w:r>
            <w:r>
              <w:rPr>
                <w:rFonts w:ascii="宋体" w:eastAsia="宋体" w:hAnsi="宋体" w:cs="Times New Roman" w:hint="eastAsia"/>
                <w:kern w:val="0"/>
                <w:sz w:val="18"/>
                <w:szCs w:val="18"/>
              </w:rPr>
              <w:t>年</w:t>
            </w:r>
          </w:p>
        </w:tc>
        <w:tc>
          <w:tcPr>
            <w:tcW w:w="1617"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5,966,203,769.14</w:t>
            </w:r>
          </w:p>
        </w:tc>
        <w:tc>
          <w:tcPr>
            <w:tcW w:w="1803" w:type="pct"/>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22.42%</w:t>
            </w:r>
          </w:p>
        </w:tc>
      </w:tr>
    </w:tbl>
    <w:p w:rsidR="00403CD6" w:rsidRDefault="00403CD6">
      <w:pPr>
        <w:spacing w:before="40" w:after="40" w:line="240" w:lineRule="exact"/>
        <w:jc w:val="right"/>
        <w:rPr>
          <w:rFonts w:ascii="Times New Roman" w:hAnsi="Times New Roman" w:cs="Times New Roman"/>
          <w:sz w:val="18"/>
          <w:szCs w:val="18"/>
        </w:rPr>
      </w:pP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与履约义务相关的信息：</w:t>
      </w:r>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
        <w:gridCol w:w="2000"/>
        <w:gridCol w:w="1543"/>
        <w:gridCol w:w="1275"/>
        <w:gridCol w:w="851"/>
        <w:gridCol w:w="1419"/>
        <w:gridCol w:w="1947"/>
      </w:tblGrid>
      <w:tr w:rsidR="00403CD6">
        <w:trPr>
          <w:trHeight w:val="284"/>
        </w:trPr>
        <w:tc>
          <w:tcPr>
            <w:tcW w:w="4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0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履行履约义务的时间</w:t>
            </w:r>
          </w:p>
        </w:tc>
        <w:tc>
          <w:tcPr>
            <w:tcW w:w="78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重要的支付条款</w:t>
            </w:r>
          </w:p>
        </w:tc>
        <w:tc>
          <w:tcPr>
            <w:tcW w:w="64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公司承诺转让商品的性质</w:t>
            </w:r>
          </w:p>
        </w:tc>
        <w:tc>
          <w:tcPr>
            <w:tcW w:w="43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是否为主要责任人</w:t>
            </w:r>
          </w:p>
        </w:tc>
        <w:tc>
          <w:tcPr>
            <w:tcW w:w="7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公司承担的预期将退还给客户的款项</w:t>
            </w:r>
          </w:p>
        </w:tc>
        <w:tc>
          <w:tcPr>
            <w:tcW w:w="98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公司提供的质量保证类型及相关义务</w:t>
            </w:r>
          </w:p>
        </w:tc>
      </w:tr>
      <w:tr w:rsidR="00403CD6">
        <w:trPr>
          <w:trHeight w:val="284"/>
        </w:trPr>
        <w:tc>
          <w:tcPr>
            <w:tcW w:w="415"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机制纸</w:t>
            </w:r>
          </w:p>
        </w:tc>
        <w:tc>
          <w:tcPr>
            <w:tcW w:w="1015"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国内销售在交付客户的当天；国外销售在办理报关的当天</w:t>
            </w:r>
          </w:p>
        </w:tc>
        <w:tc>
          <w:tcPr>
            <w:tcW w:w="783"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国内销售多提供账期；国外销售多为预付货款</w:t>
            </w:r>
          </w:p>
        </w:tc>
        <w:tc>
          <w:tcPr>
            <w:tcW w:w="647"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可明确区分的商品</w:t>
            </w:r>
          </w:p>
        </w:tc>
        <w:tc>
          <w:tcPr>
            <w:tcW w:w="432"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是</w:t>
            </w:r>
          </w:p>
        </w:tc>
        <w:tc>
          <w:tcPr>
            <w:tcW w:w="720"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无</w:t>
            </w:r>
          </w:p>
        </w:tc>
        <w:tc>
          <w:tcPr>
            <w:tcW w:w="989"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保证类质量保证，到货</w:t>
            </w:r>
            <w:r>
              <w:rPr>
                <w:rFonts w:ascii="Times New Roman" w:hAnsi="Times New Roman" w:cs="Times New Roman"/>
                <w:color w:val="000000"/>
                <w:sz w:val="18"/>
                <w:szCs w:val="18"/>
              </w:rPr>
              <w:t>7</w:t>
            </w:r>
            <w:r>
              <w:rPr>
                <w:rFonts w:hint="eastAsia"/>
                <w:color w:val="000000"/>
                <w:sz w:val="18"/>
                <w:szCs w:val="18"/>
              </w:rPr>
              <w:t>日内对产品质量提出异议可以退换货</w:t>
            </w:r>
          </w:p>
        </w:tc>
      </w:tr>
    </w:tbl>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其他说明：本公司机制纸销售履约义务通常的履约时间在</w:t>
      </w:r>
      <w:r>
        <w:rPr>
          <w:rFonts w:ascii="Times New Roman" w:eastAsia="宋体" w:hAnsi="Times New Roman" w:cs="Times New Roman"/>
          <w:sz w:val="18"/>
          <w:szCs w:val="18"/>
        </w:rPr>
        <w:t>1</w:t>
      </w:r>
      <w:r>
        <w:rPr>
          <w:rFonts w:ascii="Times New Roman" w:eastAsia="宋体" w:hAnsi="Times New Roman" w:cs="Times New Roman"/>
          <w:sz w:val="18"/>
          <w:szCs w:val="18"/>
        </w:rPr>
        <w:t>年以内，本公司根据不同客户采取预收款或提供信用账期。本公司作为主要责任人进行销售，一般在发货的同时或者将货物送达客户指定的目的地，商品控制权转移给客户时，本公司取得无条件收款权利。</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与分摊至剩余履约义务的交易价格相关的信息：</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本报告</w:t>
      </w:r>
      <w:proofErr w:type="gramStart"/>
      <w:r>
        <w:rPr>
          <w:rFonts w:ascii="Times New Roman" w:eastAsia="宋体" w:hAnsi="Times New Roman" w:cs="Times New Roman"/>
          <w:sz w:val="18"/>
          <w:szCs w:val="18"/>
        </w:rPr>
        <w:t>期末已</w:t>
      </w:r>
      <w:proofErr w:type="gramEnd"/>
      <w:r>
        <w:rPr>
          <w:rFonts w:ascii="Times New Roman" w:eastAsia="宋体" w:hAnsi="Times New Roman" w:cs="Times New Roman"/>
          <w:sz w:val="18"/>
          <w:szCs w:val="18"/>
        </w:rPr>
        <w:t>签订合同、但尚未履行或尚未履行完毕的履约义务所对应的收入金额为</w:t>
      </w:r>
      <w:r>
        <w:rPr>
          <w:rFonts w:ascii="Times New Roman" w:eastAsia="宋体" w:hAnsi="Times New Roman" w:cs="Times New Roman"/>
          <w:sz w:val="18"/>
          <w:szCs w:val="18"/>
        </w:rPr>
        <w:t xml:space="preserve">  274,829,824.35  </w:t>
      </w:r>
      <w:r>
        <w:rPr>
          <w:rFonts w:ascii="Times New Roman" w:eastAsia="宋体" w:hAnsi="Times New Roman" w:cs="Times New Roman"/>
          <w:sz w:val="18"/>
          <w:szCs w:val="18"/>
        </w:rPr>
        <w:t>元，其中，</w:t>
      </w:r>
      <w:r>
        <w:rPr>
          <w:rFonts w:ascii="Times New Roman" w:eastAsia="宋体" w:hAnsi="Times New Roman" w:cs="Times New Roman"/>
          <w:sz w:val="18"/>
          <w:szCs w:val="18"/>
        </w:rPr>
        <w:t xml:space="preserve"> 274,829,824.35  </w:t>
      </w:r>
      <w:r>
        <w:rPr>
          <w:rFonts w:ascii="Times New Roman" w:eastAsia="宋体" w:hAnsi="Times New Roman" w:cs="Times New Roman"/>
          <w:sz w:val="18"/>
          <w:szCs w:val="18"/>
        </w:rPr>
        <w:t>元预计将于</w:t>
      </w:r>
      <w:r>
        <w:rPr>
          <w:rFonts w:ascii="Times New Roman" w:eastAsia="宋体" w:hAnsi="Times New Roman" w:cs="Times New Roman"/>
          <w:sz w:val="18"/>
          <w:szCs w:val="18"/>
        </w:rPr>
        <w:t xml:space="preserve"> 2025 </w:t>
      </w:r>
      <w:r>
        <w:rPr>
          <w:rFonts w:ascii="Times New Roman" w:eastAsia="宋体" w:hAnsi="Times New Roman" w:cs="Times New Roman"/>
          <w:sz w:val="18"/>
          <w:szCs w:val="18"/>
        </w:rPr>
        <w:t>年度确认收入。</w:t>
      </w:r>
    </w:p>
    <w:p w:rsidR="00403CD6" w:rsidRDefault="00E91A59">
      <w:pPr>
        <w:keepNext/>
        <w:keepLines/>
        <w:spacing w:before="300" w:after="300" w:line="280" w:lineRule="exact"/>
        <w:outlineLvl w:val="2"/>
        <w:rPr>
          <w:rFonts w:ascii="宋体" w:eastAsia="宋体" w:hAnsi="宋体" w:cs="宋体"/>
          <w:b/>
          <w:bCs/>
          <w:szCs w:val="21"/>
        </w:rPr>
      </w:pPr>
      <w:bookmarkStart w:id="98" w:name="_Toc989373"/>
      <w:r>
        <w:rPr>
          <w:rFonts w:ascii="宋体" w:eastAsia="宋体" w:hAnsi="宋体" w:cs="宋体" w:hint="eastAsia"/>
          <w:b/>
          <w:bCs/>
          <w:szCs w:val="21"/>
        </w:rPr>
        <w:t>49、税金及附加</w:t>
      </w:r>
      <w:bookmarkEnd w:id="98"/>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房产税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85,290,265.89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88,246,740.83 </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印花税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46,117,978.93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42,431,971.88</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土地使用税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41,247,568.81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34,743,967.04</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城市维护建设税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13,956,911.51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18,839,445.01</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资源税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12,908,476.74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13,725,384.40</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环保税</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12,876,424.84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13,009,450.64</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教育费附加</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6,220,575.30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8,522,314.82</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地方教育费附加</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4,147,050.24 </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5,859,476.27</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水利基金</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901,231.53</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848,092.68</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w:t>
            </w:r>
          </w:p>
        </w:tc>
        <w:tc>
          <w:tcPr>
            <w:tcW w:w="1667" w:type="pct"/>
            <w:vAlign w:val="bottom"/>
          </w:tcPr>
          <w:p w:rsidR="00403CD6" w:rsidRDefault="00E91A59">
            <w:pPr>
              <w:widowControl/>
              <w:jc w:val="right"/>
              <w:textAlignment w:val="bottom"/>
              <w:rPr>
                <w:rFonts w:ascii="Times New Roman" w:hAnsi="Times New Roman" w:cs="Times New Roman"/>
                <w:sz w:val="18"/>
                <w:szCs w:val="18"/>
              </w:rPr>
            </w:pPr>
            <w:r>
              <w:rPr>
                <w:rFonts w:ascii="Times New Roman" w:hAnsi="Times New Roman" w:cs="Times New Roman"/>
                <w:color w:val="000000"/>
                <w:kern w:val="0"/>
                <w:sz w:val="18"/>
                <w:szCs w:val="18"/>
                <w:lang w:bidi="ar"/>
              </w:rPr>
              <w:t xml:space="preserve"> </w:t>
            </w:r>
            <w:r>
              <w:rPr>
                <w:rFonts w:ascii="Times New Roman" w:hAnsi="Times New Roman" w:cs="Times New Roman"/>
                <w:sz w:val="18"/>
                <w:szCs w:val="18"/>
              </w:rPr>
              <w:t>2,294,796.67</w:t>
            </w:r>
            <w:r>
              <w:rPr>
                <w:rFonts w:ascii="Times New Roman" w:hAnsi="Times New Roman" w:cs="Times New Roman"/>
                <w:color w:val="000000"/>
                <w:kern w:val="0"/>
                <w:sz w:val="18"/>
                <w:szCs w:val="18"/>
                <w:lang w:bidi="ar"/>
              </w:rPr>
              <w:t xml:space="preserve"> </w:t>
            </w:r>
          </w:p>
        </w:tc>
        <w:tc>
          <w:tcPr>
            <w:tcW w:w="1665" w:type="pct"/>
            <w:vAlign w:val="center"/>
          </w:tcPr>
          <w:p w:rsidR="00403CD6" w:rsidRDefault="00E91A59">
            <w:pPr>
              <w:widowControl/>
              <w:jc w:val="right"/>
              <w:textAlignment w:val="center"/>
              <w:rPr>
                <w:rFonts w:ascii="Times New Roman" w:hAnsi="Times New Roman" w:cs="Times New Roman"/>
                <w:sz w:val="18"/>
                <w:szCs w:val="18"/>
              </w:rPr>
            </w:pPr>
            <w:r>
              <w:rPr>
                <w:rFonts w:ascii="Times New Roman" w:hAnsi="Times New Roman" w:cs="Times New Roman"/>
                <w:sz w:val="18"/>
                <w:szCs w:val="18"/>
              </w:rPr>
              <w:t>1,575,521.55</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225,961,280.46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227,802,365.12</w:t>
            </w:r>
          </w:p>
        </w:tc>
      </w:tr>
    </w:tbl>
    <w:p w:rsidR="00403CD6" w:rsidRDefault="00E91A59">
      <w:pPr>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bCs/>
          <w:sz w:val="18"/>
          <w:szCs w:val="18"/>
        </w:rPr>
        <w:t>说明：各项税金及附加的计缴标准详见附注六、</w:t>
      </w:r>
      <w:r>
        <w:rPr>
          <w:rFonts w:asciiTheme="minorEastAsia" w:hAnsiTheme="minorEastAsia" w:cstheme="minorEastAsia" w:hint="eastAsia"/>
          <w:sz w:val="18"/>
          <w:szCs w:val="18"/>
        </w:rPr>
        <w:t>税项</w:t>
      </w:r>
      <w:r>
        <w:rPr>
          <w:rFonts w:asciiTheme="minorEastAsia" w:hAnsiTheme="minorEastAsia" w:cstheme="minorEastAsia" w:hint="eastAsia"/>
          <w:bCs/>
          <w:sz w:val="18"/>
          <w:szCs w:val="18"/>
        </w:rPr>
        <w:t>。</w:t>
      </w:r>
    </w:p>
    <w:p w:rsidR="00403CD6" w:rsidRDefault="00E91A59">
      <w:pPr>
        <w:keepNext/>
        <w:keepLines/>
        <w:spacing w:before="300" w:after="300" w:line="280" w:lineRule="exact"/>
        <w:outlineLvl w:val="2"/>
        <w:rPr>
          <w:rFonts w:ascii="宋体" w:eastAsia="宋体" w:hAnsi="宋体" w:cs="宋体"/>
          <w:b/>
          <w:bCs/>
          <w:szCs w:val="21"/>
        </w:rPr>
      </w:pPr>
      <w:bookmarkStart w:id="99" w:name="_Toc989374"/>
      <w:r>
        <w:rPr>
          <w:rFonts w:ascii="宋体" w:eastAsia="宋体" w:hAnsi="宋体" w:cs="宋体" w:hint="eastAsia"/>
          <w:b/>
          <w:bCs/>
          <w:szCs w:val="21"/>
        </w:rPr>
        <w:t>50、管理费用</w:t>
      </w:r>
      <w:bookmarkEnd w:id="99"/>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highlight w:val="yellow"/>
              </w:rPr>
            </w:pPr>
            <w:r>
              <w:rPr>
                <w:rFonts w:asciiTheme="minorEastAsia" w:hAnsiTheme="minorEastAsia" w:cstheme="minorEastAsia" w:hint="eastAsia"/>
                <w:sz w:val="18"/>
                <w:szCs w:val="18"/>
              </w:rPr>
              <w:lastRenderedPageBreak/>
              <w:t>工资及附加</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sidRPr="004E1CA6">
              <w:rPr>
                <w:rFonts w:ascii="Times New Roman" w:hAnsi="Times New Roman" w:cs="Times New Roman"/>
                <w:position w:val="-25"/>
                <w:sz w:val="18"/>
                <w:szCs w:val="18"/>
              </w:rPr>
              <w:t>246,167,228.89</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229,206,077.91</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折旧费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128,779,641.74</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91,759,528.87</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业务招待费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90,745,828.51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94,404,109.34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无形资产及长期费用摊销</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51,506,321.75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48,832,351.39</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律师费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47,505,377.69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20,252,237.24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福利费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45,660,222.08</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58,663,557.66</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诉讼费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23,259,822.70</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1,692,917.44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中介机构服务费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22,648,125.77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21,621,384.60</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修理费用及物料消耗</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15,827,440.75</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23,468,894.14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保险费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14,953,971.53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16,758,186.64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差旅费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11,382,389.61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15,150,365.49</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办公费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3,249,506.16</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3,871,812.80</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辞退福利费</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 xml:space="preserve">  2,591,967.39  </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2,091,062.84</w:t>
            </w:r>
          </w:p>
        </w:tc>
      </w:tr>
      <w:tr w:rsidR="00403CD6">
        <w:trPr>
          <w:trHeight w:val="284"/>
        </w:trPr>
        <w:tc>
          <w:tcPr>
            <w:tcW w:w="1668" w:type="pct"/>
            <w:shd w:val="clear" w:color="auto" w:fill="auto"/>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其他</w:t>
            </w:r>
          </w:p>
        </w:tc>
        <w:tc>
          <w:tcPr>
            <w:tcW w:w="1668"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46,891,129.43</w:t>
            </w:r>
          </w:p>
        </w:tc>
        <w:tc>
          <w:tcPr>
            <w:tcW w:w="1664" w:type="pct"/>
            <w:shd w:val="clear" w:color="auto" w:fill="auto"/>
            <w:vAlign w:val="center"/>
          </w:tcPr>
          <w:p w:rsidR="00403CD6" w:rsidRDefault="00E91A59">
            <w:pPr>
              <w:jc w:val="right"/>
              <w:rPr>
                <w:rFonts w:ascii="Times New Roman" w:hAnsi="Times New Roman" w:cs="Times New Roman"/>
                <w:position w:val="-25"/>
                <w:sz w:val="18"/>
                <w:szCs w:val="18"/>
              </w:rPr>
            </w:pPr>
            <w:r>
              <w:rPr>
                <w:rFonts w:ascii="Times New Roman" w:hAnsi="Times New Roman" w:cs="Times New Roman"/>
                <w:position w:val="-25"/>
                <w:sz w:val="18"/>
                <w:szCs w:val="18"/>
              </w:rPr>
              <w:t>62,547,295.65</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1668" w:type="pct"/>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sidRPr="004E1CA6">
              <w:rPr>
                <w:rFonts w:ascii="Times New Roman" w:hAnsi="Times New Roman" w:cs="Times New Roman"/>
                <w:position w:val="-25"/>
                <w:sz w:val="18"/>
                <w:szCs w:val="18"/>
              </w:rPr>
              <w:t>751,168,974.00</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690,319,782.01</w:t>
            </w:r>
          </w:p>
        </w:tc>
      </w:tr>
    </w:tbl>
    <w:p w:rsidR="00403CD6" w:rsidRDefault="00E91A59">
      <w:pPr>
        <w:keepNext/>
        <w:keepLines/>
        <w:spacing w:before="300" w:after="300" w:line="280" w:lineRule="exact"/>
        <w:outlineLvl w:val="2"/>
        <w:rPr>
          <w:rFonts w:ascii="宋体" w:eastAsia="宋体" w:hAnsi="宋体" w:cs="宋体"/>
          <w:b/>
          <w:bCs/>
          <w:szCs w:val="21"/>
        </w:rPr>
      </w:pPr>
      <w:bookmarkStart w:id="100" w:name="_Toc989375"/>
      <w:r>
        <w:rPr>
          <w:rFonts w:ascii="宋体" w:eastAsia="宋体" w:hAnsi="宋体" w:cs="宋体" w:hint="eastAsia"/>
          <w:b/>
          <w:bCs/>
          <w:szCs w:val="21"/>
        </w:rPr>
        <w:t>51、销售费用</w:t>
      </w:r>
      <w:bookmarkEnd w:id="100"/>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工资及附加</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sidRPr="004E1CA6">
              <w:rPr>
                <w:rFonts w:ascii="Times New Roman" w:hAnsi="Times New Roman" w:cs="Times New Roman"/>
                <w:position w:val="-25"/>
                <w:sz w:val="18"/>
                <w:szCs w:val="18"/>
              </w:rPr>
              <w:t>132,918,538.10</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109,381,728.48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招待费</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47,459,555.70</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51,126,929.37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差旅费</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28,721,204.65</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28,631,831.59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租赁费</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6,921,416.15</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7,343,527.12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折旧费</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4,742,847.33</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4,677,235.58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销售佣金</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4,618,204.21</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6,940,887.40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办公费</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2,117,947.35</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4,241,864.88 </w:t>
            </w:r>
          </w:p>
        </w:tc>
      </w:tr>
      <w:tr w:rsidR="00403CD6">
        <w:trPr>
          <w:trHeight w:val="284"/>
        </w:trPr>
        <w:tc>
          <w:tcPr>
            <w:tcW w:w="3285" w:type="dxa"/>
            <w:vAlign w:val="center"/>
          </w:tcPr>
          <w:p w:rsidR="00403CD6" w:rsidRDefault="00E91A59">
            <w:pPr>
              <w:jc w:val="both"/>
              <w:rPr>
                <w:rFonts w:asciiTheme="minorEastAsia" w:hAnsiTheme="minorEastAsia" w:cstheme="minorEastAsia"/>
                <w:sz w:val="18"/>
                <w:szCs w:val="18"/>
              </w:rPr>
            </w:pPr>
            <w:r>
              <w:rPr>
                <w:rFonts w:asciiTheme="minorEastAsia" w:hAnsiTheme="minorEastAsia" w:cstheme="minorEastAsia" w:hint="eastAsia"/>
                <w:sz w:val="18"/>
                <w:szCs w:val="18"/>
              </w:rPr>
              <w:t>其他</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Pr>
                <w:rFonts w:ascii="Times New Roman" w:hAnsi="Times New Roman" w:cs="Times New Roman"/>
                <w:position w:val="-25"/>
                <w:sz w:val="18"/>
                <w:szCs w:val="18"/>
              </w:rPr>
              <w:t>13,671,395.63</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position w:val="-25"/>
                <w:sz w:val="18"/>
                <w:szCs w:val="18"/>
              </w:rPr>
              <w:t xml:space="preserve"> 18,655,633.01 </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3285" w:type="dxa"/>
            <w:vAlign w:val="center"/>
          </w:tcPr>
          <w:p w:rsidR="00403CD6" w:rsidRPr="004E1CA6" w:rsidRDefault="00E91A59">
            <w:pPr>
              <w:spacing w:before="100" w:beforeAutospacing="1" w:after="100" w:afterAutospacing="1"/>
              <w:jc w:val="right"/>
              <w:rPr>
                <w:rFonts w:ascii="Times New Roman" w:hAnsi="Times New Roman" w:cs="Times New Roman"/>
                <w:position w:val="-25"/>
                <w:sz w:val="18"/>
                <w:szCs w:val="18"/>
              </w:rPr>
            </w:pPr>
            <w:r w:rsidRPr="004E1CA6">
              <w:rPr>
                <w:rFonts w:ascii="Times New Roman" w:hAnsi="Times New Roman" w:cs="Times New Roman"/>
                <w:position w:val="-25"/>
                <w:sz w:val="18"/>
                <w:szCs w:val="18"/>
              </w:rPr>
              <w:t>241,171,109.12</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230,999,637.43</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52、研发费用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材料耗用</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725,049,519.67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781,407,604.78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proofErr w:type="gramStart"/>
            <w:r>
              <w:rPr>
                <w:rFonts w:asciiTheme="minorEastAsia" w:hAnsiTheme="minorEastAsia" w:cstheme="minorEastAsia" w:hint="eastAsia"/>
                <w:sz w:val="18"/>
                <w:szCs w:val="18"/>
              </w:rPr>
              <w:t>水汽电</w:t>
            </w:r>
            <w:proofErr w:type="gramEnd"/>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130,904,560.17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155,276,067.70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工资及附加费</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123,022,797.35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129,508,833.28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折旧费</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64,184,587.23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56,914,306.41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保险费</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25,909,846.14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26,981,737.42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福利费</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4,556,030.19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3,362,929.39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住房公积金</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4,151,966.75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4,435,343.17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工会经费</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1,271,458.04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1,323,605.61 </w:t>
            </w:r>
          </w:p>
        </w:tc>
      </w:tr>
      <w:tr w:rsidR="00403CD6">
        <w:trPr>
          <w:trHeight w:val="284"/>
        </w:trPr>
        <w:tc>
          <w:tcPr>
            <w:tcW w:w="1667" w:type="pct"/>
            <w:vAlign w:val="center"/>
          </w:tcPr>
          <w:p w:rsidR="00403CD6" w:rsidRDefault="00E91A59">
            <w:pPr>
              <w:adjustRightInd w:val="0"/>
              <w:snapToGrid w:val="0"/>
              <w:jc w:val="both"/>
              <w:rPr>
                <w:rFonts w:asciiTheme="minorEastAsia" w:hAnsiTheme="minorEastAsia" w:cstheme="minorEastAsia"/>
                <w:sz w:val="18"/>
                <w:szCs w:val="18"/>
              </w:rPr>
            </w:pPr>
            <w:r>
              <w:rPr>
                <w:rFonts w:asciiTheme="minorEastAsia" w:hAnsiTheme="minorEastAsia" w:cstheme="minorEastAsia" w:hint="eastAsia"/>
                <w:sz w:val="18"/>
                <w:szCs w:val="18"/>
              </w:rPr>
              <w:t>其他费用</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1,280,988.88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5,209,270.37</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1,080,331,754.42 </w:t>
            </w:r>
          </w:p>
        </w:tc>
        <w:tc>
          <w:tcPr>
            <w:tcW w:w="1666"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1,164,419,698.13 </w:t>
            </w:r>
          </w:p>
        </w:tc>
      </w:tr>
    </w:tbl>
    <w:p w:rsidR="00403CD6" w:rsidRDefault="00E91A59">
      <w:pPr>
        <w:keepNext/>
        <w:keepLines/>
        <w:spacing w:before="300" w:after="300" w:line="280" w:lineRule="exact"/>
        <w:outlineLvl w:val="2"/>
        <w:rPr>
          <w:rFonts w:ascii="宋体" w:eastAsia="宋体" w:hAnsi="宋体" w:cs="宋体"/>
          <w:b/>
          <w:bCs/>
          <w:szCs w:val="21"/>
        </w:rPr>
      </w:pPr>
      <w:bookmarkStart w:id="101" w:name="_Toc989377"/>
      <w:r>
        <w:rPr>
          <w:rFonts w:ascii="宋体" w:eastAsia="宋体" w:hAnsi="宋体" w:cs="宋体" w:hint="eastAsia"/>
          <w:b/>
          <w:bCs/>
          <w:szCs w:val="21"/>
        </w:rPr>
        <w:lastRenderedPageBreak/>
        <w:t>53</w:t>
      </w:r>
      <w:r>
        <w:rPr>
          <w:rFonts w:ascii="宋体" w:eastAsia="宋体" w:hAnsi="宋体" w:cs="宋体"/>
          <w:b/>
          <w:bCs/>
          <w:szCs w:val="21"/>
        </w:rPr>
        <w:t>、财务费用</w:t>
      </w:r>
      <w:bookmarkEnd w:id="101"/>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利息支出</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1,869,661,335.22</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1,908,394,881.89</w:t>
            </w: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 xml:space="preserve">  减：利息资本化</w:t>
            </w:r>
          </w:p>
        </w:tc>
        <w:tc>
          <w:tcPr>
            <w:tcW w:w="3285" w:type="dxa"/>
            <w:vAlign w:val="center"/>
          </w:tcPr>
          <w:p w:rsidR="00403CD6" w:rsidRDefault="00403CD6">
            <w:pPr>
              <w:jc w:val="right"/>
              <w:rPr>
                <w:rFonts w:ascii="Times New Roman" w:hAnsi="Times New Roman" w:cs="Times New Roman"/>
                <w:sz w:val="18"/>
                <w:szCs w:val="18"/>
              </w:rPr>
            </w:pPr>
          </w:p>
        </w:tc>
        <w:tc>
          <w:tcPr>
            <w:tcW w:w="3283" w:type="dxa"/>
            <w:vAlign w:val="center"/>
          </w:tcPr>
          <w:p w:rsidR="00403CD6" w:rsidRDefault="00403CD6">
            <w:pPr>
              <w:jc w:val="right"/>
              <w:rPr>
                <w:rFonts w:ascii="Times New Roman" w:hAnsi="Times New Roman" w:cs="Times New Roman"/>
                <w:sz w:val="18"/>
                <w:szCs w:val="18"/>
              </w:rPr>
            </w:pP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 xml:space="preserve">      利息收入</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182,479,117.53</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201,101,017.34</w:t>
            </w: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汇兑损益</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-50,235,759.26</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-25,018,964.43</w:t>
            </w: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 xml:space="preserve">  减：汇兑损益资本化</w:t>
            </w:r>
          </w:p>
        </w:tc>
        <w:tc>
          <w:tcPr>
            <w:tcW w:w="3285" w:type="dxa"/>
            <w:vAlign w:val="center"/>
          </w:tcPr>
          <w:p w:rsidR="00403CD6" w:rsidRDefault="00403CD6">
            <w:pPr>
              <w:jc w:val="right"/>
              <w:rPr>
                <w:rFonts w:ascii="Times New Roman" w:hAnsi="Times New Roman" w:cs="Times New Roman"/>
                <w:sz w:val="18"/>
                <w:szCs w:val="18"/>
              </w:rPr>
            </w:pPr>
          </w:p>
        </w:tc>
        <w:tc>
          <w:tcPr>
            <w:tcW w:w="3283" w:type="dxa"/>
            <w:vAlign w:val="center"/>
          </w:tcPr>
          <w:p w:rsidR="00403CD6" w:rsidRDefault="00403CD6">
            <w:pPr>
              <w:jc w:val="right"/>
              <w:rPr>
                <w:rFonts w:ascii="Times New Roman" w:hAnsi="Times New Roman" w:cs="Times New Roman"/>
                <w:sz w:val="18"/>
                <w:szCs w:val="18"/>
              </w:rPr>
            </w:pPr>
          </w:p>
        </w:tc>
      </w:tr>
      <w:tr w:rsidR="00403CD6">
        <w:trPr>
          <w:trHeight w:val="284"/>
        </w:trPr>
        <w:tc>
          <w:tcPr>
            <w:tcW w:w="3285" w:type="dxa"/>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手续费及其他</w:t>
            </w:r>
          </w:p>
        </w:tc>
        <w:tc>
          <w:tcPr>
            <w:tcW w:w="3285"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331,036,008.91</w:t>
            </w:r>
          </w:p>
        </w:tc>
        <w:tc>
          <w:tcPr>
            <w:tcW w:w="3283"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327,391,808.02</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285"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1,967,982,467.34</w:t>
            </w:r>
          </w:p>
        </w:tc>
        <w:tc>
          <w:tcPr>
            <w:tcW w:w="328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2,009,666,708.14</w:t>
            </w:r>
          </w:p>
        </w:tc>
      </w:tr>
    </w:tbl>
    <w:p w:rsidR="00403CD6" w:rsidRDefault="00E91A59">
      <w:pPr>
        <w:keepNext/>
        <w:keepLines/>
        <w:spacing w:before="300" w:after="300" w:line="280" w:lineRule="exact"/>
        <w:outlineLvl w:val="2"/>
        <w:rPr>
          <w:rFonts w:ascii="宋体" w:eastAsia="宋体" w:hAnsi="宋体" w:cs="宋体"/>
          <w:b/>
          <w:bCs/>
          <w:szCs w:val="21"/>
        </w:rPr>
      </w:pPr>
      <w:bookmarkStart w:id="102" w:name="_Toc989378"/>
      <w:r>
        <w:rPr>
          <w:rFonts w:ascii="宋体" w:eastAsia="宋体" w:hAnsi="宋体" w:cs="宋体" w:hint="eastAsia"/>
          <w:b/>
          <w:bCs/>
          <w:szCs w:val="21"/>
        </w:rPr>
        <w:t>54</w:t>
      </w:r>
      <w:r>
        <w:rPr>
          <w:rFonts w:ascii="宋体" w:eastAsia="宋体" w:hAnsi="宋体" w:cs="宋体"/>
          <w:b/>
          <w:bCs/>
          <w:szCs w:val="21"/>
        </w:rPr>
        <w:t>、</w:t>
      </w:r>
      <w:r>
        <w:rPr>
          <w:rFonts w:ascii="宋体" w:eastAsia="宋体" w:hAnsi="宋体" w:cs="宋体" w:hint="eastAsia"/>
          <w:b/>
          <w:bCs/>
          <w:szCs w:val="21"/>
        </w:rPr>
        <w:t>其他收益</w:t>
      </w:r>
    </w:p>
    <w:bookmarkEnd w:id="102"/>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产生其他收益的来源</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shd w:val="clear" w:color="auto" w:fill="auto"/>
            <w:vAlign w:val="center"/>
          </w:tcPr>
          <w:p w:rsidR="00403CD6" w:rsidRDefault="00E91A59">
            <w:pPr>
              <w:rPr>
                <w:rFonts w:asciiTheme="minorEastAsia" w:hAnsiTheme="minorEastAsia" w:cstheme="minorEastAsia"/>
                <w:color w:val="FF0000"/>
                <w:sz w:val="18"/>
                <w:szCs w:val="18"/>
              </w:rPr>
            </w:pPr>
            <w:r>
              <w:rPr>
                <w:rFonts w:asciiTheme="minorEastAsia" w:hAnsiTheme="minorEastAsia" w:cstheme="minorEastAsia" w:hint="eastAsia"/>
                <w:sz w:val="18"/>
                <w:szCs w:val="18"/>
              </w:rPr>
              <w:t>政府补助-递延收益摊销进入损益</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104,694,629.18</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133,096,353.76</w:t>
            </w:r>
          </w:p>
        </w:tc>
      </w:tr>
      <w:tr w:rsidR="00403CD6">
        <w:trPr>
          <w:trHeight w:val="284"/>
        </w:trPr>
        <w:tc>
          <w:tcPr>
            <w:tcW w:w="1667" w:type="pct"/>
            <w:shd w:val="clear" w:color="auto" w:fill="auto"/>
            <w:vAlign w:val="center"/>
          </w:tcPr>
          <w:p w:rsidR="00403CD6" w:rsidRDefault="00E91A59">
            <w:pPr>
              <w:rPr>
                <w:rFonts w:asciiTheme="minorEastAsia" w:hAnsiTheme="minorEastAsia" w:cstheme="minorEastAsia"/>
                <w:color w:val="FF0000"/>
                <w:sz w:val="18"/>
                <w:szCs w:val="18"/>
              </w:rPr>
            </w:pPr>
            <w:bookmarkStart w:id="103" w:name="_Toc989379"/>
            <w:r>
              <w:rPr>
                <w:rFonts w:asciiTheme="minorEastAsia" w:hAnsiTheme="minorEastAsia" w:cstheme="minorEastAsia" w:hint="eastAsia"/>
                <w:sz w:val="18"/>
                <w:szCs w:val="18"/>
              </w:rPr>
              <w:t>政府补助-直接进入损益的政府补助</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15,808,074.49</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36,809,925.69</w:t>
            </w:r>
          </w:p>
        </w:tc>
      </w:tr>
      <w:tr w:rsidR="00403CD6">
        <w:trPr>
          <w:trHeight w:val="284"/>
        </w:trPr>
        <w:tc>
          <w:tcPr>
            <w:tcW w:w="1667" w:type="pct"/>
            <w:shd w:val="clear" w:color="auto" w:fill="auto"/>
            <w:vAlign w:val="center"/>
          </w:tcPr>
          <w:p w:rsidR="00403CD6" w:rsidRDefault="00E91A59">
            <w:pPr>
              <w:rPr>
                <w:rFonts w:asciiTheme="minorEastAsia" w:hAnsiTheme="minorEastAsia" w:cstheme="minorEastAsia"/>
                <w:color w:val="FF0000"/>
                <w:sz w:val="18"/>
                <w:szCs w:val="18"/>
              </w:rPr>
            </w:pPr>
            <w:r>
              <w:rPr>
                <w:rFonts w:asciiTheme="minorEastAsia" w:hAnsiTheme="minorEastAsia" w:cstheme="minorEastAsia" w:hint="eastAsia"/>
                <w:sz w:val="18"/>
                <w:szCs w:val="18"/>
              </w:rPr>
              <w:t>增值税进项加计抵减</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174,580,943.06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154,495,020.82</w:t>
            </w:r>
          </w:p>
        </w:tc>
      </w:tr>
      <w:tr w:rsidR="00403CD6">
        <w:trPr>
          <w:trHeight w:val="284"/>
        </w:trPr>
        <w:tc>
          <w:tcPr>
            <w:tcW w:w="1667"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扣代缴个人所得税手续费返还</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513,801.11</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2,522,709.33</w:t>
            </w:r>
          </w:p>
        </w:tc>
      </w:tr>
      <w:tr w:rsidR="00403CD6">
        <w:trPr>
          <w:trHeight w:val="284"/>
        </w:trPr>
        <w:tc>
          <w:tcPr>
            <w:tcW w:w="1667" w:type="pct"/>
            <w:tcBorders>
              <w:bottom w:val="single" w:sz="4" w:space="0" w:color="auto"/>
            </w:tcBorders>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债务重组收益</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205,966.46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10,400,321.83</w:t>
            </w:r>
          </w:p>
        </w:tc>
      </w:tr>
      <w:tr w:rsidR="00403CD6">
        <w:trPr>
          <w:trHeight w:val="284"/>
        </w:trPr>
        <w:tc>
          <w:tcPr>
            <w:tcW w:w="3285" w:type="dxa"/>
            <w:shd w:val="clear" w:color="auto" w:fill="D9D9D9" w:themeFill="background1" w:themeFillShade="D9"/>
          </w:tcPr>
          <w:p w:rsidR="00403CD6" w:rsidRDefault="00E91A59">
            <w:pPr>
              <w:spacing w:line="240" w:lineRule="exact"/>
              <w:jc w:val="center"/>
              <w:rPr>
                <w:rFonts w:asciiTheme="minorEastAsia" w:hAnsiTheme="minorEastAsia" w:cstheme="minorEastAsia"/>
                <w:sz w:val="18"/>
                <w:szCs w:val="18"/>
              </w:rPr>
            </w:pPr>
            <w:r>
              <w:rPr>
                <w:rFonts w:ascii="宋体" w:eastAsia="宋体" w:hAnsi="宋体" w:hint="eastAsia"/>
                <w:sz w:val="18"/>
                <w:szCs w:val="18"/>
              </w:rPr>
              <w:t>合计</w:t>
            </w:r>
          </w:p>
        </w:tc>
        <w:tc>
          <w:tcPr>
            <w:tcW w:w="3285" w:type="dxa"/>
            <w:shd w:val="clear" w:color="auto" w:fill="auto"/>
            <w:vAlign w:val="center"/>
          </w:tcPr>
          <w:p w:rsidR="00403CD6" w:rsidRDefault="00E91A59">
            <w:pPr>
              <w:spacing w:line="240" w:lineRule="exact"/>
              <w:jc w:val="right"/>
              <w:rPr>
                <w:rFonts w:ascii="Times New Roman" w:hAnsi="Times New Roman" w:cs="Times New Roman"/>
                <w:sz w:val="18"/>
                <w:szCs w:val="18"/>
              </w:rPr>
            </w:pPr>
            <w:r>
              <w:rPr>
                <w:rFonts w:ascii="Times New Roman" w:eastAsia="仿宋_GB2312" w:hAnsi="Times New Roman" w:cs="Times New Roman"/>
                <w:sz w:val="18"/>
                <w:szCs w:val="18"/>
              </w:rPr>
              <w:t>295,803,414.30</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337,324,331.43</w:t>
            </w:r>
          </w:p>
        </w:tc>
      </w:tr>
    </w:tbl>
    <w:p w:rsidR="00403CD6" w:rsidRDefault="00E91A59">
      <w:pPr>
        <w:spacing w:beforeLines="50" w:before="156" w:afterLines="90" w:after="280"/>
        <w:rPr>
          <w:rFonts w:asciiTheme="minorEastAsia" w:hAnsiTheme="minorEastAsia" w:cstheme="minorEastAsia"/>
          <w:b/>
          <w:bCs/>
          <w:sz w:val="18"/>
          <w:szCs w:val="18"/>
        </w:rPr>
      </w:pPr>
      <w:r>
        <w:rPr>
          <w:rFonts w:asciiTheme="minorEastAsia" w:hAnsiTheme="minorEastAsia" w:cstheme="minorEastAsia" w:hint="eastAsia"/>
          <w:bCs/>
          <w:sz w:val="18"/>
          <w:szCs w:val="18"/>
        </w:rPr>
        <w:t>说明：政府补助的具体信息，</w:t>
      </w:r>
      <w:r>
        <w:rPr>
          <w:rFonts w:asciiTheme="minorEastAsia" w:hAnsiTheme="minorEastAsia" w:cstheme="minorEastAsia" w:hint="eastAsia"/>
          <w:sz w:val="18"/>
          <w:szCs w:val="18"/>
        </w:rPr>
        <w:t>详见附注十一、政府补助。</w:t>
      </w:r>
    </w:p>
    <w:bookmarkEnd w:id="103"/>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55、公允价值变动收益</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产生公允价值变动收益的来源</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shd w:val="clear" w:color="auto" w:fill="D3D3D3"/>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交易性金融资产</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-9,757,917.81</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-28,740,129.26</w:t>
            </w:r>
          </w:p>
        </w:tc>
      </w:tr>
      <w:tr w:rsidR="00403CD6">
        <w:trPr>
          <w:trHeight w:val="284"/>
        </w:trPr>
        <w:tc>
          <w:tcPr>
            <w:tcW w:w="1667" w:type="pct"/>
            <w:shd w:val="clear" w:color="auto" w:fill="D3D3D3"/>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其他非流动金融资产</w:t>
            </w:r>
          </w:p>
        </w:tc>
        <w:tc>
          <w:tcPr>
            <w:tcW w:w="166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-29,047,290.52</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-3,590,983.62 </w:t>
            </w:r>
          </w:p>
        </w:tc>
      </w:tr>
      <w:tr w:rsidR="00403CD6">
        <w:trPr>
          <w:trHeight w:val="284"/>
        </w:trPr>
        <w:tc>
          <w:tcPr>
            <w:tcW w:w="1667" w:type="pct"/>
            <w:shd w:val="clear" w:color="auto" w:fill="D3D3D3"/>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按公允价值计量的消耗性生物资产产生的公允价值变动收益</w:t>
            </w:r>
          </w:p>
        </w:tc>
        <w:tc>
          <w:tcPr>
            <w:tcW w:w="1667"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-153,411,759.17</w:t>
            </w:r>
          </w:p>
        </w:tc>
        <w:tc>
          <w:tcPr>
            <w:tcW w:w="1665"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6,775,808.38</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286" w:type="dxa"/>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-192,216,967.50</w:t>
            </w:r>
          </w:p>
        </w:tc>
        <w:tc>
          <w:tcPr>
            <w:tcW w:w="3282"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-25,555,304.50 </w:t>
            </w:r>
          </w:p>
        </w:tc>
      </w:tr>
    </w:tbl>
    <w:p w:rsidR="00403CD6" w:rsidRDefault="00E91A59">
      <w:pPr>
        <w:keepNext/>
        <w:keepLines/>
        <w:spacing w:before="300" w:after="300" w:line="280" w:lineRule="exact"/>
        <w:outlineLvl w:val="2"/>
        <w:rPr>
          <w:rFonts w:ascii="宋体" w:eastAsia="宋体" w:hAnsi="宋体" w:cs="宋体"/>
          <w:b/>
          <w:bCs/>
          <w:szCs w:val="21"/>
        </w:rPr>
      </w:pPr>
      <w:bookmarkStart w:id="104" w:name="_Toc989381"/>
      <w:r>
        <w:rPr>
          <w:rFonts w:ascii="宋体" w:eastAsia="宋体" w:hAnsi="宋体" w:cs="宋体" w:hint="eastAsia"/>
          <w:b/>
          <w:bCs/>
          <w:szCs w:val="21"/>
        </w:rPr>
        <w:t>56、投资收益</w:t>
      </w:r>
      <w:bookmarkEnd w:id="104"/>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交易性金融资产和其他非流动金融资产分红</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23,957,613.40</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39,529,607.69</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债务重组产生的投资收益</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3,313,951.90</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44,897,024.23</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处置长期股权投资产生的投资收益</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-2,985,381.21</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391,450,223.81</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金融资产终止确认产生的投资收益</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-101,812,317.04</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-99,744,741.95</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权益法核算的长期股权投资收益</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-689,387,136.28</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128,934,922.00</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-766,913,269.23</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505,067,035.78</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lastRenderedPageBreak/>
        <w:t>57、信用减值损失</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应收账款坏账损失</w:t>
            </w:r>
          </w:p>
        </w:tc>
        <w:tc>
          <w:tcPr>
            <w:tcW w:w="1668"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-738,698,849.57 </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-96,453,353.50</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其他应收款款坏账损失</w:t>
            </w:r>
          </w:p>
        </w:tc>
        <w:tc>
          <w:tcPr>
            <w:tcW w:w="1668" w:type="pct"/>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-991,241,165.49</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-47,363,307.69</w:t>
            </w:r>
          </w:p>
        </w:tc>
      </w:tr>
      <w:tr w:rsidR="00403CD6">
        <w:trPr>
          <w:trHeight w:val="284"/>
        </w:trPr>
        <w:tc>
          <w:tcPr>
            <w:tcW w:w="1668"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融资租赁款坏账损失</w:t>
            </w:r>
          </w:p>
        </w:tc>
        <w:tc>
          <w:tcPr>
            <w:tcW w:w="1668" w:type="pct"/>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-1,468,149,193.40</w:t>
            </w:r>
          </w:p>
        </w:tc>
        <w:tc>
          <w:tcPr>
            <w:tcW w:w="1664"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-176,139,588.20 </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sz w:val="18"/>
                <w:szCs w:val="18"/>
              </w:rPr>
              <w:t>-3,198,089,208.46</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-319,956,249.39 </w:t>
            </w:r>
          </w:p>
        </w:tc>
      </w:tr>
    </w:tbl>
    <w:p w:rsidR="00403CD6" w:rsidRDefault="00E91A59">
      <w:pPr>
        <w:keepNext/>
        <w:keepLines/>
        <w:spacing w:before="300" w:after="300" w:line="280" w:lineRule="exact"/>
        <w:outlineLvl w:val="2"/>
        <w:rPr>
          <w:rFonts w:ascii="宋体" w:eastAsia="宋体" w:hAnsi="宋体" w:cs="宋体"/>
          <w:b/>
          <w:bCs/>
          <w:szCs w:val="21"/>
        </w:rPr>
      </w:pPr>
      <w:bookmarkStart w:id="105" w:name="_Toc989383"/>
      <w:r>
        <w:rPr>
          <w:rFonts w:ascii="宋体" w:eastAsia="宋体" w:hAnsi="宋体" w:cs="宋体" w:hint="eastAsia"/>
          <w:b/>
          <w:bCs/>
          <w:szCs w:val="21"/>
        </w:rPr>
        <w:t>58、资产减值损失</w:t>
      </w:r>
      <w:bookmarkEnd w:id="105"/>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tcBorders>
              <w:bottom w:val="single" w:sz="4" w:space="0" w:color="auto"/>
            </w:tcBorders>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8" w:type="pct"/>
            <w:shd w:val="clear" w:color="auto" w:fill="D9D9D9" w:themeFill="background1" w:themeFillShade="D9"/>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商誉减值损失</w:t>
            </w:r>
          </w:p>
        </w:tc>
        <w:tc>
          <w:tcPr>
            <w:tcW w:w="1668"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-8,273,638.42</w:t>
            </w:r>
          </w:p>
        </w:tc>
        <w:tc>
          <w:tcPr>
            <w:tcW w:w="166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668" w:type="pct"/>
            <w:shd w:val="clear" w:color="auto" w:fill="D9D9D9" w:themeFill="background1" w:themeFillShade="D9"/>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生产性生物资产减值损失</w:t>
            </w:r>
          </w:p>
        </w:tc>
        <w:tc>
          <w:tcPr>
            <w:tcW w:w="1668"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-9,352,071.80</w:t>
            </w:r>
          </w:p>
        </w:tc>
        <w:tc>
          <w:tcPr>
            <w:tcW w:w="166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668" w:type="pct"/>
            <w:shd w:val="clear" w:color="auto" w:fill="D9D9D9" w:themeFill="background1" w:themeFillShade="D9"/>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长期股权投资减值损失</w:t>
            </w:r>
          </w:p>
        </w:tc>
        <w:tc>
          <w:tcPr>
            <w:tcW w:w="1668"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-17,088,890.78</w:t>
            </w:r>
          </w:p>
        </w:tc>
        <w:tc>
          <w:tcPr>
            <w:tcW w:w="166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668" w:type="pct"/>
            <w:shd w:val="clear" w:color="auto" w:fill="D9D9D9" w:themeFill="background1" w:themeFillShade="D9"/>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存货跌价损失</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-20,403,446.82</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-44,344,534.62</w:t>
            </w:r>
          </w:p>
        </w:tc>
      </w:tr>
      <w:tr w:rsidR="00403CD6">
        <w:trPr>
          <w:trHeight w:val="284"/>
        </w:trPr>
        <w:tc>
          <w:tcPr>
            <w:tcW w:w="1668" w:type="pct"/>
            <w:shd w:val="clear" w:color="auto" w:fill="D9D9D9" w:themeFill="background1" w:themeFillShade="D9"/>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固定资产减值损失</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-69,027,097.92</w:t>
            </w:r>
          </w:p>
        </w:tc>
        <w:tc>
          <w:tcPr>
            <w:tcW w:w="166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668" w:type="pct"/>
            <w:shd w:val="clear" w:color="auto" w:fill="D9D9D9" w:themeFill="background1" w:themeFillShade="D9"/>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投资性房地产减值损失</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-102,227,990.09</w:t>
            </w:r>
          </w:p>
        </w:tc>
        <w:tc>
          <w:tcPr>
            <w:tcW w:w="1664" w:type="pct"/>
            <w:shd w:val="clear" w:color="auto" w:fill="auto"/>
            <w:vAlign w:val="center"/>
          </w:tcPr>
          <w:p w:rsidR="00403CD6" w:rsidRDefault="00403CD6">
            <w:pPr>
              <w:jc w:val="right"/>
              <w:rPr>
                <w:rFonts w:ascii="Times New Roman" w:eastAsia="仿宋_GB2312" w:hAnsi="Times New Roman" w:cs="Times New Roman"/>
                <w:sz w:val="18"/>
                <w:szCs w:val="18"/>
              </w:rPr>
            </w:pPr>
          </w:p>
        </w:tc>
      </w:tr>
      <w:tr w:rsidR="00403CD6">
        <w:trPr>
          <w:trHeight w:val="284"/>
        </w:trPr>
        <w:tc>
          <w:tcPr>
            <w:tcW w:w="1668" w:type="pct"/>
            <w:shd w:val="clear" w:color="auto" w:fill="D9D9D9" w:themeFill="background1" w:themeFillShade="D9"/>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sz w:val="18"/>
                <w:szCs w:val="18"/>
              </w:rPr>
              <w:t>在建工程减值损失</w:t>
            </w:r>
          </w:p>
        </w:tc>
        <w:tc>
          <w:tcPr>
            <w:tcW w:w="1668"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-106,382,270.42</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-662,764.60</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-332,755,406.25</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-45,007,299.22</w:t>
            </w:r>
          </w:p>
        </w:tc>
      </w:tr>
    </w:tbl>
    <w:p w:rsidR="00403CD6" w:rsidRDefault="00E91A59">
      <w:pPr>
        <w:keepNext/>
        <w:keepLines/>
        <w:spacing w:before="300" w:after="300" w:line="280" w:lineRule="exact"/>
        <w:outlineLvl w:val="2"/>
        <w:rPr>
          <w:rFonts w:ascii="宋体" w:eastAsia="宋体" w:hAnsi="宋体" w:cs="宋体"/>
          <w:b/>
          <w:bCs/>
          <w:szCs w:val="21"/>
        </w:rPr>
      </w:pPr>
      <w:bookmarkStart w:id="106" w:name="_Toc989384"/>
      <w:r>
        <w:rPr>
          <w:rFonts w:ascii="宋体" w:eastAsia="宋体" w:hAnsi="宋体" w:cs="宋体" w:hint="eastAsia"/>
          <w:b/>
          <w:bCs/>
          <w:szCs w:val="21"/>
        </w:rPr>
        <w:t>59、资产处置收益</w:t>
      </w:r>
    </w:p>
    <w:bookmarkEnd w:id="106"/>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1"/>
        <w:gridCol w:w="3029"/>
        <w:gridCol w:w="3283"/>
      </w:tblGrid>
      <w:tr w:rsidR="00403CD6">
        <w:trPr>
          <w:trHeight w:val="284"/>
        </w:trPr>
        <w:tc>
          <w:tcPr>
            <w:tcW w:w="3541" w:type="dxa"/>
            <w:tcBorders>
              <w:bottom w:val="single" w:sz="4" w:space="0" w:color="auto"/>
            </w:tcBorders>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302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3283"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444"/>
        </w:trPr>
        <w:tc>
          <w:tcPr>
            <w:tcW w:w="3541" w:type="dxa"/>
            <w:shd w:val="clear" w:color="auto" w:fill="D9D9D9" w:themeFill="background1" w:themeFillShade="D9"/>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转租赁（损失以“-”填列）</w:t>
            </w:r>
          </w:p>
        </w:tc>
        <w:tc>
          <w:tcPr>
            <w:tcW w:w="3029" w:type="dxa"/>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27,779,307.50</w:t>
            </w:r>
          </w:p>
        </w:tc>
        <w:tc>
          <w:tcPr>
            <w:tcW w:w="3283" w:type="dxa"/>
            <w:shd w:val="clear" w:color="auto" w:fill="auto"/>
            <w:vAlign w:val="center"/>
          </w:tcPr>
          <w:p w:rsidR="00403CD6" w:rsidRDefault="00E91A59">
            <w:pPr>
              <w:jc w:val="right"/>
              <w:rPr>
                <w:rFonts w:ascii="Times New Roman" w:eastAsia="等线" w:hAnsi="Times New Roman" w:cs="Times New Roman"/>
                <w:sz w:val="18"/>
                <w:szCs w:val="18"/>
              </w:rPr>
            </w:pPr>
            <w:r>
              <w:rPr>
                <w:rFonts w:ascii="Times New Roman" w:eastAsia="等线" w:hAnsi="Times New Roman" w:cs="Times New Roman"/>
                <w:sz w:val="18"/>
                <w:szCs w:val="18"/>
              </w:rPr>
              <w:t>3,780,766.85</w:t>
            </w:r>
          </w:p>
        </w:tc>
      </w:tr>
      <w:tr w:rsidR="00403CD6">
        <w:trPr>
          <w:trHeight w:val="444"/>
        </w:trPr>
        <w:tc>
          <w:tcPr>
            <w:tcW w:w="3541" w:type="dxa"/>
            <w:shd w:val="clear" w:color="auto" w:fill="D9D9D9" w:themeFill="background1" w:themeFillShade="D9"/>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固定资产处置利得（损失以“-”填列）</w:t>
            </w:r>
          </w:p>
        </w:tc>
        <w:tc>
          <w:tcPr>
            <w:tcW w:w="3029" w:type="dxa"/>
            <w:shd w:val="clear" w:color="auto" w:fill="auto"/>
            <w:vAlign w:val="center"/>
          </w:tcPr>
          <w:p w:rsidR="00403CD6" w:rsidRDefault="00E91A59">
            <w:pPr>
              <w:jc w:val="right"/>
              <w:rPr>
                <w:rFonts w:ascii="Times New Roman" w:eastAsia="等线" w:hAnsi="Times New Roman" w:cs="Times New Roman"/>
                <w:sz w:val="18"/>
                <w:szCs w:val="18"/>
              </w:rPr>
            </w:pPr>
            <w:r>
              <w:rPr>
                <w:rFonts w:ascii="Times New Roman" w:eastAsia="等线" w:hAnsi="Times New Roman" w:cs="Times New Roman"/>
                <w:color w:val="000000"/>
                <w:sz w:val="18"/>
                <w:szCs w:val="18"/>
              </w:rPr>
              <w:t>27,626,956.14</w:t>
            </w:r>
          </w:p>
        </w:tc>
        <w:tc>
          <w:tcPr>
            <w:tcW w:w="328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11,090,813.00</w:t>
            </w:r>
          </w:p>
        </w:tc>
      </w:tr>
      <w:tr w:rsidR="00403CD6">
        <w:trPr>
          <w:trHeight w:val="284"/>
        </w:trPr>
        <w:tc>
          <w:tcPr>
            <w:tcW w:w="3541" w:type="dxa"/>
            <w:shd w:val="clear" w:color="auto" w:fill="D9D9D9" w:themeFill="background1" w:themeFillShade="D9"/>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无形资产处置利得（损失以“-”填列）</w:t>
            </w:r>
          </w:p>
        </w:tc>
        <w:tc>
          <w:tcPr>
            <w:tcW w:w="3029" w:type="dxa"/>
            <w:shd w:val="clear" w:color="auto" w:fill="auto"/>
            <w:vAlign w:val="center"/>
          </w:tcPr>
          <w:p w:rsidR="00403CD6" w:rsidRDefault="00403CD6">
            <w:pPr>
              <w:jc w:val="right"/>
              <w:rPr>
                <w:rFonts w:ascii="Times New Roman" w:eastAsia="等线" w:hAnsi="Times New Roman" w:cs="Times New Roman"/>
                <w:sz w:val="18"/>
                <w:szCs w:val="18"/>
              </w:rPr>
            </w:pPr>
          </w:p>
        </w:tc>
        <w:tc>
          <w:tcPr>
            <w:tcW w:w="328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-264,150.94</w:t>
            </w:r>
          </w:p>
        </w:tc>
      </w:tr>
      <w:tr w:rsidR="00403CD6">
        <w:trPr>
          <w:trHeight w:val="284"/>
        </w:trPr>
        <w:tc>
          <w:tcPr>
            <w:tcW w:w="354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029"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55,406,263.64</w:t>
            </w:r>
          </w:p>
        </w:tc>
        <w:tc>
          <w:tcPr>
            <w:tcW w:w="328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14,607,428.91</w:t>
            </w:r>
          </w:p>
        </w:tc>
      </w:tr>
    </w:tbl>
    <w:p w:rsidR="00403CD6" w:rsidRDefault="00E91A59">
      <w:pPr>
        <w:keepNext/>
        <w:keepLines/>
        <w:spacing w:before="300" w:after="300" w:line="280" w:lineRule="exact"/>
        <w:outlineLvl w:val="2"/>
        <w:rPr>
          <w:rFonts w:ascii="宋体" w:eastAsia="宋体" w:hAnsi="宋体" w:cs="宋体"/>
          <w:b/>
          <w:bCs/>
          <w:szCs w:val="21"/>
        </w:rPr>
      </w:pPr>
      <w:bookmarkStart w:id="107" w:name="_Toc989385"/>
      <w:r>
        <w:rPr>
          <w:rFonts w:ascii="宋体" w:eastAsia="宋体" w:hAnsi="宋体" w:cs="宋体" w:hint="eastAsia"/>
          <w:b/>
          <w:bCs/>
          <w:szCs w:val="21"/>
        </w:rPr>
        <w:t>60、营业外收入</w:t>
      </w:r>
      <w:bookmarkEnd w:id="107"/>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2"/>
        <w:gridCol w:w="2463"/>
        <w:gridCol w:w="2463"/>
        <w:gridCol w:w="2465"/>
      </w:tblGrid>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计入当期非经常性损益的金额</w:t>
            </w:r>
          </w:p>
        </w:tc>
      </w:tr>
      <w:tr w:rsidR="00403CD6">
        <w:trPr>
          <w:trHeight w:val="284"/>
        </w:trPr>
        <w:tc>
          <w:tcPr>
            <w:tcW w:w="2463"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罚款、赔偿收入</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3,064,805.35</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1,965,328.23</w:t>
            </w:r>
          </w:p>
        </w:tc>
        <w:tc>
          <w:tcPr>
            <w:tcW w:w="2464"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hint="eastAsia"/>
                <w:sz w:val="18"/>
                <w:szCs w:val="18"/>
              </w:rPr>
              <w:t>3,064,805.35</w:t>
            </w:r>
          </w:p>
        </w:tc>
      </w:tr>
      <w:tr w:rsidR="00403CD6">
        <w:trPr>
          <w:trHeight w:val="284"/>
        </w:trPr>
        <w:tc>
          <w:tcPr>
            <w:tcW w:w="2463"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非流动资产毁损报废利得</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836,632.57</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450,007.54</w:t>
            </w:r>
          </w:p>
        </w:tc>
        <w:tc>
          <w:tcPr>
            <w:tcW w:w="2464"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836,632.57</w:t>
            </w:r>
          </w:p>
        </w:tc>
      </w:tr>
      <w:tr w:rsidR="00403CD6">
        <w:trPr>
          <w:trHeight w:val="284"/>
        </w:trPr>
        <w:tc>
          <w:tcPr>
            <w:tcW w:w="2463"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无需支付的债务</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766,729.62</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222,676.32</w:t>
            </w:r>
          </w:p>
        </w:tc>
        <w:tc>
          <w:tcPr>
            <w:tcW w:w="2464"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766,729.62</w:t>
            </w:r>
          </w:p>
        </w:tc>
      </w:tr>
      <w:tr w:rsidR="00403CD6">
        <w:trPr>
          <w:trHeight w:val="284"/>
        </w:trPr>
        <w:tc>
          <w:tcPr>
            <w:tcW w:w="2463"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政府补助</w:t>
            </w:r>
          </w:p>
        </w:tc>
        <w:tc>
          <w:tcPr>
            <w:tcW w:w="2463" w:type="dxa"/>
            <w:vAlign w:val="center"/>
          </w:tcPr>
          <w:p w:rsidR="00403CD6" w:rsidRDefault="00403CD6">
            <w:pPr>
              <w:jc w:val="right"/>
              <w:rPr>
                <w:rFonts w:ascii="Times New Roman" w:eastAsia="宋体" w:hAnsi="Times New Roman" w:cs="Times New Roman"/>
                <w:sz w:val="18"/>
                <w:szCs w:val="18"/>
              </w:rPr>
            </w:pP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72,000.00</w:t>
            </w:r>
          </w:p>
        </w:tc>
        <w:tc>
          <w:tcPr>
            <w:tcW w:w="2464" w:type="dxa"/>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2463" w:type="dxa"/>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479,470.17</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288,757.32</w:t>
            </w:r>
          </w:p>
        </w:tc>
        <w:tc>
          <w:tcPr>
            <w:tcW w:w="2464"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479,470.17</w:t>
            </w:r>
          </w:p>
        </w:tc>
      </w:tr>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5,147,637.71</w:t>
            </w:r>
          </w:p>
        </w:tc>
        <w:tc>
          <w:tcPr>
            <w:tcW w:w="2463"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2,998,769.41</w:t>
            </w:r>
          </w:p>
        </w:tc>
        <w:tc>
          <w:tcPr>
            <w:tcW w:w="2464" w:type="dxa"/>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5,147,637.71</w:t>
            </w:r>
          </w:p>
        </w:tc>
      </w:tr>
    </w:tbl>
    <w:p w:rsidR="00403CD6" w:rsidRDefault="00E91A59">
      <w:pPr>
        <w:keepNext/>
        <w:keepLines/>
        <w:spacing w:before="300" w:after="300" w:line="280" w:lineRule="exact"/>
        <w:outlineLvl w:val="2"/>
        <w:rPr>
          <w:rFonts w:ascii="宋体" w:eastAsia="宋体" w:hAnsi="宋体" w:cs="宋体"/>
          <w:b/>
          <w:bCs/>
          <w:szCs w:val="21"/>
        </w:rPr>
      </w:pPr>
      <w:bookmarkStart w:id="108" w:name="_Toc989386"/>
      <w:r>
        <w:rPr>
          <w:rFonts w:ascii="宋体" w:eastAsia="宋体" w:hAnsi="宋体" w:cs="宋体" w:hint="eastAsia"/>
          <w:b/>
          <w:bCs/>
          <w:szCs w:val="21"/>
        </w:rPr>
        <w:lastRenderedPageBreak/>
        <w:t>61、营业外支出</w:t>
      </w:r>
      <w:bookmarkEnd w:id="108"/>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1"/>
        <w:gridCol w:w="2264"/>
        <w:gridCol w:w="2463"/>
        <w:gridCol w:w="2465"/>
      </w:tblGrid>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1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c>
          <w:tcPr>
            <w:tcW w:w="12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计入当期非经常性损益的金额</w:t>
            </w:r>
          </w:p>
        </w:tc>
      </w:tr>
      <w:tr w:rsidR="00403CD6">
        <w:trPr>
          <w:trHeight w:val="284"/>
        </w:trPr>
        <w:tc>
          <w:tcPr>
            <w:tcW w:w="1350"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非流动资产毁损报废损失</w:t>
            </w:r>
          </w:p>
        </w:tc>
        <w:tc>
          <w:tcPr>
            <w:tcW w:w="1149"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18,017,286.66 </w:t>
            </w:r>
          </w:p>
        </w:tc>
        <w:tc>
          <w:tcPr>
            <w:tcW w:w="125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4,940,010.70</w:t>
            </w:r>
          </w:p>
        </w:tc>
        <w:tc>
          <w:tcPr>
            <w:tcW w:w="1251"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18,017,286.66 </w:t>
            </w:r>
          </w:p>
        </w:tc>
      </w:tr>
      <w:tr w:rsidR="00403CD6">
        <w:trPr>
          <w:trHeight w:val="284"/>
        </w:trPr>
        <w:tc>
          <w:tcPr>
            <w:tcW w:w="1350"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碳排放配额使用、注销或交易</w:t>
            </w:r>
          </w:p>
        </w:tc>
        <w:tc>
          <w:tcPr>
            <w:tcW w:w="1149"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10,143,868.80 </w:t>
            </w:r>
          </w:p>
        </w:tc>
        <w:tc>
          <w:tcPr>
            <w:tcW w:w="125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13,613,560.97</w:t>
            </w:r>
          </w:p>
        </w:tc>
        <w:tc>
          <w:tcPr>
            <w:tcW w:w="1251"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10,143,868.80 </w:t>
            </w:r>
          </w:p>
        </w:tc>
      </w:tr>
      <w:tr w:rsidR="00403CD6">
        <w:trPr>
          <w:trHeight w:val="284"/>
        </w:trPr>
        <w:tc>
          <w:tcPr>
            <w:tcW w:w="1350"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诉讼赔偿</w:t>
            </w:r>
          </w:p>
        </w:tc>
        <w:tc>
          <w:tcPr>
            <w:tcW w:w="11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 xml:space="preserve">8,683,133.63 </w:t>
            </w:r>
          </w:p>
        </w:tc>
        <w:tc>
          <w:tcPr>
            <w:tcW w:w="125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1251"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8,683,133.63</w:t>
            </w:r>
          </w:p>
        </w:tc>
      </w:tr>
      <w:tr w:rsidR="00403CD6">
        <w:trPr>
          <w:trHeight w:val="284"/>
        </w:trPr>
        <w:tc>
          <w:tcPr>
            <w:tcW w:w="1350"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公益性捐赠支出</w:t>
            </w:r>
          </w:p>
        </w:tc>
        <w:tc>
          <w:tcPr>
            <w:tcW w:w="1149"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300,000.00 </w:t>
            </w:r>
          </w:p>
        </w:tc>
        <w:tc>
          <w:tcPr>
            <w:tcW w:w="125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505,280.00</w:t>
            </w:r>
          </w:p>
        </w:tc>
        <w:tc>
          <w:tcPr>
            <w:tcW w:w="1251" w:type="pct"/>
            <w:shd w:val="clear" w:color="auto" w:fill="auto"/>
            <w:vAlign w:val="center"/>
          </w:tcPr>
          <w:p w:rsidR="00403CD6" w:rsidRDefault="00E91A59">
            <w:pPr>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 xml:space="preserve">300,000.00 </w:t>
            </w:r>
          </w:p>
        </w:tc>
      </w:tr>
      <w:tr w:rsidR="00403CD6">
        <w:trPr>
          <w:trHeight w:val="284"/>
        </w:trPr>
        <w:tc>
          <w:tcPr>
            <w:tcW w:w="1350" w:type="pct"/>
            <w:shd w:val="clear" w:color="auto" w:fill="auto"/>
            <w:vAlign w:val="bottom"/>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其他</w:t>
            </w:r>
          </w:p>
        </w:tc>
        <w:tc>
          <w:tcPr>
            <w:tcW w:w="114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 xml:space="preserve">459,888.85 </w:t>
            </w:r>
          </w:p>
        </w:tc>
        <w:tc>
          <w:tcPr>
            <w:tcW w:w="1250" w:type="pct"/>
            <w:shd w:val="clear" w:color="auto" w:fill="auto"/>
            <w:vAlign w:val="center"/>
          </w:tcPr>
          <w:p w:rsidR="00403CD6" w:rsidRDefault="00403CD6">
            <w:pPr>
              <w:jc w:val="right"/>
              <w:rPr>
                <w:rFonts w:ascii="Times New Roman" w:eastAsia="仿宋_GB2312" w:hAnsi="Times New Roman" w:cs="Times New Roman"/>
                <w:sz w:val="18"/>
                <w:szCs w:val="18"/>
              </w:rPr>
            </w:pPr>
          </w:p>
        </w:tc>
        <w:tc>
          <w:tcPr>
            <w:tcW w:w="1251"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color w:val="000000"/>
                <w:sz w:val="18"/>
                <w:szCs w:val="18"/>
              </w:rPr>
              <w:t xml:space="preserve">459,888.85 </w:t>
            </w:r>
          </w:p>
        </w:tc>
      </w:tr>
      <w:tr w:rsidR="00403CD6">
        <w:trPr>
          <w:trHeight w:val="284"/>
        </w:trPr>
        <w:tc>
          <w:tcPr>
            <w:tcW w:w="13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149"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37,604,177.94</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19,058,851.67</w:t>
            </w:r>
          </w:p>
        </w:tc>
        <w:tc>
          <w:tcPr>
            <w:tcW w:w="1251"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37,604,177.94</w:t>
            </w:r>
          </w:p>
        </w:tc>
      </w:tr>
    </w:tbl>
    <w:p w:rsidR="00403CD6" w:rsidRDefault="00E91A59">
      <w:pPr>
        <w:keepNext/>
        <w:keepLines/>
        <w:spacing w:before="300" w:after="300" w:line="280" w:lineRule="exact"/>
        <w:outlineLvl w:val="2"/>
        <w:rPr>
          <w:rFonts w:ascii="宋体" w:eastAsia="宋体" w:hAnsi="宋体" w:cs="宋体"/>
          <w:b/>
          <w:bCs/>
          <w:szCs w:val="21"/>
        </w:rPr>
      </w:pPr>
      <w:bookmarkStart w:id="109" w:name="_Toc989387"/>
      <w:r>
        <w:rPr>
          <w:rFonts w:ascii="宋体" w:eastAsia="宋体" w:hAnsi="宋体" w:cs="宋体" w:hint="eastAsia"/>
          <w:b/>
          <w:bCs/>
          <w:szCs w:val="21"/>
        </w:rPr>
        <w:t>62、所得税费用</w:t>
      </w:r>
      <w:bookmarkEnd w:id="109"/>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所得税费用表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按税法及相关规定计算的当期所得税</w:t>
            </w:r>
          </w:p>
        </w:tc>
        <w:tc>
          <w:tcPr>
            <w:tcW w:w="1667"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29,520,796.36</w:t>
            </w:r>
          </w:p>
        </w:tc>
        <w:tc>
          <w:tcPr>
            <w:tcW w:w="1665"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26,624,910.52</w:t>
            </w:r>
          </w:p>
        </w:tc>
      </w:tr>
      <w:tr w:rsidR="00403CD6">
        <w:trPr>
          <w:trHeight w:val="284"/>
        </w:trPr>
        <w:tc>
          <w:tcPr>
            <w:tcW w:w="1667"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递延所得税费用</w:t>
            </w:r>
          </w:p>
        </w:tc>
        <w:tc>
          <w:tcPr>
            <w:tcW w:w="1667" w:type="pct"/>
            <w:vAlign w:val="center"/>
          </w:tcPr>
          <w:p w:rsidR="00403CD6" w:rsidRPr="004E1CA6" w:rsidRDefault="00E91A59" w:rsidP="001326E2">
            <w:pPr>
              <w:jc w:val="right"/>
              <w:rPr>
                <w:rFonts w:ascii="Times New Roman" w:eastAsia="等线" w:hAnsi="Times New Roman" w:cs="Times New Roman"/>
                <w:color w:val="000000"/>
                <w:sz w:val="18"/>
                <w:szCs w:val="18"/>
              </w:rPr>
            </w:pPr>
            <w:r w:rsidRPr="004E1CA6">
              <w:rPr>
                <w:rFonts w:ascii="Times New Roman" w:eastAsia="等线" w:hAnsi="Times New Roman" w:cs="Times New Roman"/>
                <w:color w:val="000000"/>
                <w:sz w:val="18"/>
                <w:szCs w:val="18"/>
              </w:rPr>
              <w:t>-89,692,493.81</w:t>
            </w:r>
          </w:p>
        </w:tc>
        <w:tc>
          <w:tcPr>
            <w:tcW w:w="1665"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-409,686,894.47</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3285" w:type="dxa"/>
            <w:shd w:val="clear" w:color="auto" w:fill="auto"/>
            <w:vAlign w:val="center"/>
          </w:tcPr>
          <w:p w:rsidR="00403CD6" w:rsidRPr="004E1CA6" w:rsidRDefault="00E91A59" w:rsidP="001326E2">
            <w:pPr>
              <w:jc w:val="right"/>
              <w:rPr>
                <w:rFonts w:ascii="Times New Roman" w:eastAsia="等线" w:hAnsi="Times New Roman" w:cs="Times New Roman"/>
                <w:color w:val="000000"/>
                <w:sz w:val="18"/>
                <w:szCs w:val="18"/>
              </w:rPr>
            </w:pPr>
            <w:r w:rsidRPr="004E1CA6">
              <w:rPr>
                <w:rFonts w:ascii="Times New Roman" w:eastAsia="等线" w:hAnsi="Times New Roman" w:cs="Times New Roman"/>
                <w:color w:val="000000"/>
                <w:sz w:val="18"/>
                <w:szCs w:val="18"/>
              </w:rPr>
              <w:t>-60,171,697.45</w:t>
            </w:r>
          </w:p>
        </w:tc>
        <w:tc>
          <w:tcPr>
            <w:tcW w:w="3283" w:type="dxa"/>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-383,061,983.95</w:t>
            </w:r>
          </w:p>
        </w:tc>
      </w:tr>
    </w:tbl>
    <w:p w:rsidR="00403CD6" w:rsidRDefault="00E91A59">
      <w:pPr>
        <w:keepNext/>
        <w:keepLines/>
        <w:spacing w:before="300" w:after="300" w:line="280" w:lineRule="exact"/>
        <w:outlineLvl w:val="3"/>
        <w:rPr>
          <w:rFonts w:ascii="宋体" w:eastAsia="宋体" w:hAnsi="宋体" w:cs="宋体"/>
          <w:b/>
          <w:bCs/>
          <w:szCs w:val="21"/>
        </w:rPr>
      </w:pPr>
      <w:bookmarkStart w:id="110" w:name="_Toc989389"/>
      <w:r>
        <w:rPr>
          <w:rFonts w:ascii="宋体" w:eastAsia="宋体" w:hAnsi="宋体" w:cs="宋体" w:hint="eastAsia"/>
          <w:b/>
          <w:bCs/>
          <w:szCs w:val="21"/>
        </w:rPr>
        <w:t>（2） 会计利润与所得税费用调整过程</w:t>
      </w:r>
      <w:bookmarkEnd w:id="110"/>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9"/>
        <w:gridCol w:w="3224"/>
      </w:tblGrid>
      <w:tr w:rsidR="00403CD6">
        <w:trPr>
          <w:trHeight w:val="284"/>
        </w:trPr>
        <w:tc>
          <w:tcPr>
            <w:tcW w:w="33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3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利润总额</w:t>
            </w:r>
          </w:p>
        </w:tc>
        <w:tc>
          <w:tcPr>
            <w:tcW w:w="1636" w:type="pct"/>
            <w:shd w:val="clear" w:color="auto" w:fill="auto"/>
            <w:vAlign w:val="center"/>
          </w:tcPr>
          <w:p w:rsidR="00403CD6" w:rsidRPr="004E1CA6" w:rsidRDefault="00E91A59" w:rsidP="001326E2">
            <w:pPr>
              <w:autoSpaceDE w:val="0"/>
              <w:autoSpaceDN w:val="0"/>
              <w:adjustRightInd w:val="0"/>
              <w:snapToGrid w:val="0"/>
              <w:jc w:val="right"/>
              <w:rPr>
                <w:rFonts w:ascii="Times New Roman" w:eastAsia="等线" w:hAnsi="Times New Roman" w:cs="Times New Roman"/>
                <w:color w:val="000000"/>
                <w:sz w:val="18"/>
                <w:szCs w:val="18"/>
              </w:rPr>
            </w:pPr>
            <w:r w:rsidRPr="004E1CA6">
              <w:rPr>
                <w:rFonts w:ascii="Times New Roman" w:eastAsia="等线" w:hAnsi="Times New Roman" w:cs="Times New Roman"/>
                <w:color w:val="000000"/>
                <w:sz w:val="18"/>
                <w:szCs w:val="18"/>
              </w:rPr>
              <w:t>-7,853,191,114.74</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按法定（或适用）税率计算的所得税费用</w:t>
            </w:r>
          </w:p>
        </w:tc>
        <w:tc>
          <w:tcPr>
            <w:tcW w:w="1636" w:type="pct"/>
            <w:shd w:val="clear" w:color="auto" w:fill="auto"/>
            <w:vAlign w:val="center"/>
          </w:tcPr>
          <w:p w:rsidR="00403CD6" w:rsidRPr="004E1CA6" w:rsidRDefault="00E91A59" w:rsidP="001326E2">
            <w:pPr>
              <w:autoSpaceDE w:val="0"/>
              <w:autoSpaceDN w:val="0"/>
              <w:adjustRightInd w:val="0"/>
              <w:snapToGrid w:val="0"/>
              <w:jc w:val="right"/>
              <w:rPr>
                <w:rFonts w:ascii="Times New Roman" w:eastAsia="等线" w:hAnsi="Times New Roman" w:cs="Times New Roman"/>
                <w:color w:val="000000"/>
                <w:sz w:val="18"/>
                <w:szCs w:val="18"/>
              </w:rPr>
            </w:pPr>
            <w:r w:rsidRPr="004E1CA6">
              <w:rPr>
                <w:rFonts w:ascii="Times New Roman" w:eastAsia="等线" w:hAnsi="Times New Roman" w:cs="Times New Roman"/>
                <w:color w:val="000000"/>
                <w:sz w:val="18"/>
                <w:szCs w:val="18"/>
              </w:rPr>
              <w:t>-1,177,978,667.21</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某些子公司适用不同税率的影响</w:t>
            </w:r>
          </w:p>
        </w:tc>
        <w:tc>
          <w:tcPr>
            <w:tcW w:w="1636" w:type="pct"/>
            <w:shd w:val="clear" w:color="auto" w:fill="auto"/>
            <w:vAlign w:val="center"/>
          </w:tcPr>
          <w:p w:rsidR="00403CD6" w:rsidRPr="004E1CA6" w:rsidRDefault="00E91A59" w:rsidP="001326E2">
            <w:pPr>
              <w:autoSpaceDE w:val="0"/>
              <w:autoSpaceDN w:val="0"/>
              <w:adjustRightInd w:val="0"/>
              <w:snapToGrid w:val="0"/>
              <w:jc w:val="right"/>
              <w:rPr>
                <w:rFonts w:ascii="Times New Roman" w:eastAsia="等线" w:hAnsi="Times New Roman" w:cs="Times New Roman"/>
                <w:color w:val="000000"/>
                <w:sz w:val="18"/>
                <w:szCs w:val="18"/>
              </w:rPr>
            </w:pPr>
            <w:r w:rsidRPr="004E1CA6">
              <w:rPr>
                <w:rFonts w:ascii="Times New Roman" w:eastAsia="等线" w:hAnsi="Times New Roman" w:cs="Times New Roman"/>
                <w:color w:val="000000"/>
                <w:sz w:val="18"/>
                <w:szCs w:val="18"/>
              </w:rPr>
              <w:t>-289,098,723.65</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对以前期间当期所得税的调整</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color w:val="000000"/>
                <w:sz w:val="18"/>
                <w:szCs w:val="18"/>
              </w:rPr>
              <w:t>53,667,789.92</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权益法核算的合营企业和联营企业损益</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eastAsia="等线" w:hAnsi="Times New Roman" w:cs="Times New Roman"/>
                <w:color w:val="000000"/>
                <w:sz w:val="18"/>
                <w:szCs w:val="18"/>
              </w:rPr>
              <w:t>127,351,544.10</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无须纳税的收入（以</w:t>
            </w:r>
            <w:r>
              <w:rPr>
                <w:rFonts w:ascii="Times New Roman" w:hAnsi="Times New Roman" w:cs="Times New Roman"/>
                <w:sz w:val="18"/>
                <w:szCs w:val="18"/>
              </w:rPr>
              <w:t>“-”</w:t>
            </w:r>
            <w:r>
              <w:rPr>
                <w:rFonts w:ascii="Times New Roman" w:hAnsi="Times New Roman" w:cs="Times New Roman"/>
                <w:sz w:val="18"/>
                <w:szCs w:val="18"/>
              </w:rPr>
              <w:t>填列）</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color w:val="0000FF"/>
                <w:sz w:val="18"/>
                <w:szCs w:val="18"/>
              </w:rPr>
            </w:pPr>
            <w:r>
              <w:rPr>
                <w:rFonts w:ascii="Times New Roman" w:hAnsi="Times New Roman" w:cs="Times New Roman"/>
                <w:color w:val="000000"/>
                <w:sz w:val="18"/>
                <w:szCs w:val="18"/>
              </w:rPr>
              <w:t>-3,815,166.49</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不可抵扣的成本、费用和损失</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color w:val="0000FF"/>
                <w:sz w:val="18"/>
                <w:szCs w:val="18"/>
              </w:rPr>
            </w:pPr>
            <w:r>
              <w:rPr>
                <w:rFonts w:ascii="Times New Roman" w:eastAsia="等线" w:hAnsi="Times New Roman" w:cs="Times New Roman"/>
                <w:color w:val="000000"/>
                <w:sz w:val="18"/>
                <w:szCs w:val="18"/>
              </w:rPr>
              <w:t>16,175,703.25</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税率变动对</w:t>
            </w:r>
            <w:proofErr w:type="gramStart"/>
            <w:r>
              <w:rPr>
                <w:rFonts w:ascii="Times New Roman" w:hAnsi="Times New Roman" w:cs="Times New Roman"/>
                <w:sz w:val="18"/>
                <w:szCs w:val="18"/>
              </w:rPr>
              <w:t>期初递延</w:t>
            </w:r>
            <w:proofErr w:type="gramEnd"/>
            <w:r>
              <w:rPr>
                <w:rFonts w:ascii="Times New Roman" w:hAnsi="Times New Roman" w:cs="Times New Roman"/>
                <w:sz w:val="18"/>
                <w:szCs w:val="18"/>
              </w:rPr>
              <w:t>所得税余额的影响</w:t>
            </w:r>
          </w:p>
        </w:tc>
        <w:tc>
          <w:tcPr>
            <w:tcW w:w="1636"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color w:val="0000FF"/>
                <w:sz w:val="18"/>
                <w:szCs w:val="18"/>
              </w:rPr>
            </w:pP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利用以前年度未确认可抵扣亏损和可抵扣暂时性差异的纳税影响（以</w:t>
            </w:r>
            <w:r>
              <w:rPr>
                <w:rFonts w:ascii="Times New Roman" w:hAnsi="Times New Roman" w:cs="Times New Roman"/>
                <w:sz w:val="18"/>
                <w:szCs w:val="18"/>
              </w:rPr>
              <w:t>“-”</w:t>
            </w:r>
            <w:r>
              <w:rPr>
                <w:rFonts w:ascii="Times New Roman" w:hAnsi="Times New Roman" w:cs="Times New Roman"/>
                <w:sz w:val="18"/>
                <w:szCs w:val="18"/>
              </w:rPr>
              <w:t>填列）</w:t>
            </w:r>
          </w:p>
        </w:tc>
        <w:tc>
          <w:tcPr>
            <w:tcW w:w="1636" w:type="pct"/>
            <w:shd w:val="clear" w:color="auto" w:fill="auto"/>
            <w:vAlign w:val="center"/>
          </w:tcPr>
          <w:p w:rsidR="00403CD6" w:rsidRDefault="00E91A59">
            <w:pPr>
              <w:widowControl/>
              <w:spacing w:before="100" w:beforeAutospacing="1" w:after="100" w:afterAutospacing="1"/>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-22,376,863.40</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未确认可抵扣亏损和可抵扣暂时性差异的纳税影响</w:t>
            </w:r>
          </w:p>
        </w:tc>
        <w:tc>
          <w:tcPr>
            <w:tcW w:w="1636" w:type="pct"/>
            <w:shd w:val="clear" w:color="auto" w:fill="auto"/>
            <w:vAlign w:val="center"/>
          </w:tcPr>
          <w:p w:rsidR="00403CD6" w:rsidRDefault="00E91A59">
            <w:pPr>
              <w:widowControl/>
              <w:spacing w:before="100" w:beforeAutospacing="1" w:after="100" w:afterAutospacing="1"/>
              <w:jc w:val="right"/>
              <w:rPr>
                <w:rFonts w:ascii="Times New Roman" w:eastAsia="等线" w:hAnsi="Times New Roman" w:cs="Times New Roman"/>
                <w:color w:val="000000"/>
                <w:sz w:val="18"/>
                <w:szCs w:val="18"/>
              </w:rPr>
            </w:pPr>
            <w:r>
              <w:rPr>
                <w:rFonts w:ascii="Times New Roman" w:eastAsia="等线" w:hAnsi="Times New Roman" w:cs="Times New Roman"/>
                <w:color w:val="000000"/>
                <w:sz w:val="18"/>
                <w:szCs w:val="18"/>
              </w:rPr>
              <w:t>1,340,443,501.17</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研究开发费加成扣除的纳税影响（以</w:t>
            </w:r>
            <w:r>
              <w:rPr>
                <w:rFonts w:ascii="Times New Roman" w:hAnsi="Times New Roman" w:cs="Times New Roman"/>
                <w:sz w:val="18"/>
                <w:szCs w:val="18"/>
              </w:rPr>
              <w:t>“-”</w:t>
            </w:r>
            <w:r>
              <w:rPr>
                <w:rFonts w:ascii="Times New Roman" w:hAnsi="Times New Roman" w:cs="Times New Roman"/>
                <w:sz w:val="18"/>
                <w:szCs w:val="18"/>
              </w:rPr>
              <w:t>填列）</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-101,346,229.46</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作为权益核算的永续债利息税前扣除</w:t>
            </w:r>
          </w:p>
        </w:tc>
        <w:tc>
          <w:tcPr>
            <w:tcW w:w="1636"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刨花板</w:t>
            </w:r>
            <w:r>
              <w:rPr>
                <w:rFonts w:ascii="Times New Roman" w:hAnsi="Times New Roman" w:cs="Times New Roman"/>
                <w:sz w:val="18"/>
                <w:szCs w:val="18"/>
              </w:rPr>
              <w:t>10%</w:t>
            </w:r>
            <w:proofErr w:type="gramStart"/>
            <w:r>
              <w:rPr>
                <w:rFonts w:ascii="Times New Roman" w:hAnsi="Times New Roman" w:cs="Times New Roman"/>
                <w:sz w:val="18"/>
                <w:szCs w:val="18"/>
              </w:rPr>
              <w:t>减计收入</w:t>
            </w:r>
            <w:proofErr w:type="gramEnd"/>
            <w:r>
              <w:rPr>
                <w:rFonts w:ascii="Times New Roman" w:hAnsi="Times New Roman" w:cs="Times New Roman"/>
                <w:sz w:val="18"/>
                <w:szCs w:val="18"/>
              </w:rPr>
              <w:t>等税收优惠</w:t>
            </w:r>
          </w:p>
        </w:tc>
        <w:tc>
          <w:tcPr>
            <w:tcW w:w="1636"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-3,194,585.68</w:t>
            </w: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以前年度未确认可抵扣亏损和可抵扣暂时性差异的递延所得税本期冲回</w:t>
            </w:r>
          </w:p>
        </w:tc>
        <w:tc>
          <w:tcPr>
            <w:tcW w:w="1636"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r>
      <w:tr w:rsidR="00403CD6">
        <w:trPr>
          <w:trHeight w:val="284"/>
        </w:trPr>
        <w:tc>
          <w:tcPr>
            <w:tcW w:w="336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所得税费用</w:t>
            </w:r>
          </w:p>
        </w:tc>
        <w:tc>
          <w:tcPr>
            <w:tcW w:w="1636" w:type="pct"/>
            <w:shd w:val="clear" w:color="auto" w:fill="auto"/>
            <w:vAlign w:val="center"/>
          </w:tcPr>
          <w:p w:rsidR="00403CD6" w:rsidRPr="004E1CA6" w:rsidRDefault="00E91A59" w:rsidP="001326E2">
            <w:pPr>
              <w:autoSpaceDE w:val="0"/>
              <w:autoSpaceDN w:val="0"/>
              <w:adjustRightInd w:val="0"/>
              <w:snapToGrid w:val="0"/>
              <w:jc w:val="right"/>
              <w:rPr>
                <w:rFonts w:ascii="Times New Roman" w:hAnsi="Times New Roman" w:cs="Times New Roman"/>
                <w:color w:val="000000"/>
                <w:sz w:val="18"/>
                <w:szCs w:val="18"/>
              </w:rPr>
            </w:pPr>
            <w:r w:rsidRPr="004E1CA6">
              <w:rPr>
                <w:rFonts w:ascii="Times New Roman" w:hAnsi="Times New Roman" w:cs="Times New Roman"/>
                <w:color w:val="000000"/>
                <w:sz w:val="18"/>
                <w:szCs w:val="18"/>
              </w:rPr>
              <w:t>-60,171,697.45</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63、现金流量表项目</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与经营活动有关的现金</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收到的其他与经营活动有关的现金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lastRenderedPageBreak/>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融资租赁业务净回收</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260,647,420.02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615,990,074.21</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财务费用</w:t>
            </w:r>
            <w:r>
              <w:rPr>
                <w:rFonts w:ascii="Times New Roman" w:hAnsi="Times New Roman" w:cs="Times New Roman"/>
                <w:color w:val="000000"/>
                <w:sz w:val="18"/>
                <w:szCs w:val="18"/>
              </w:rPr>
              <w:t>-</w:t>
            </w:r>
            <w:r>
              <w:rPr>
                <w:rFonts w:ascii="Times New Roman" w:hAnsi="Times New Roman" w:cs="Times New Roman"/>
                <w:color w:val="000000"/>
                <w:sz w:val="18"/>
                <w:szCs w:val="18"/>
              </w:rPr>
              <w:t>利息收入</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145,479,117.53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192,639,004.29</w:t>
            </w:r>
          </w:p>
        </w:tc>
      </w:tr>
      <w:tr w:rsidR="00403CD6">
        <w:trPr>
          <w:trHeight w:val="284"/>
        </w:trPr>
        <w:tc>
          <w:tcPr>
            <w:tcW w:w="1667" w:type="pct"/>
            <w:vAlign w:val="center"/>
          </w:tcPr>
          <w:p w:rsidR="00403CD6" w:rsidRDefault="00E91A59">
            <w:pPr>
              <w:spacing w:line="240" w:lineRule="exact"/>
              <w:rPr>
                <w:rFonts w:ascii="Times New Roman" w:hAnsi="Times New Roman" w:cs="Times New Roman"/>
                <w:color w:val="000000"/>
                <w:sz w:val="18"/>
                <w:szCs w:val="18"/>
              </w:rPr>
            </w:pPr>
            <w:r>
              <w:rPr>
                <w:rFonts w:ascii="Times New Roman" w:hAnsi="Times New Roman" w:cs="Times New Roman"/>
                <w:color w:val="000000"/>
                <w:sz w:val="18"/>
                <w:szCs w:val="18"/>
              </w:rPr>
              <w:t>往来款及其他收入</w:t>
            </w:r>
          </w:p>
        </w:tc>
        <w:tc>
          <w:tcPr>
            <w:tcW w:w="1667"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93,824,314.21</w:t>
            </w:r>
          </w:p>
        </w:tc>
        <w:tc>
          <w:tcPr>
            <w:tcW w:w="1666"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185,197,937.53</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政府补助</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24,021,791.25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36,369,756.40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违约金及罚款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882,182.24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988,348.52</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524,854,825.25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1,031,185,120.95</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支付的其他与经营活动有关的现金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运输费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658,951,178.78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827,892,596.27</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金融机构手续费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251,788,057.09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231,394,529.58</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proofErr w:type="gramStart"/>
            <w:r>
              <w:rPr>
                <w:rFonts w:ascii="Times New Roman" w:hAnsi="Times New Roman" w:cs="Times New Roman"/>
                <w:color w:val="000000"/>
                <w:sz w:val="18"/>
                <w:szCs w:val="18"/>
              </w:rPr>
              <w:t>保理净</w:t>
            </w:r>
            <w:proofErr w:type="gramEnd"/>
            <w:r>
              <w:rPr>
                <w:rFonts w:ascii="Times New Roman" w:hAnsi="Times New Roman" w:cs="Times New Roman"/>
                <w:color w:val="000000"/>
                <w:sz w:val="18"/>
                <w:szCs w:val="18"/>
              </w:rPr>
              <w:t>投放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127,400,000.00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业务招待费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120,249,429.77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126,982,128.56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中介机构服务费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57,572,669.84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42,941,628.90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差旅费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39,774,276.92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44,024,694.22</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装卸费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22,750,943.01</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16,197,187.56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排污费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19,349,998.12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15,654,882.06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租赁费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13,784,498.82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13,911,319.46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修理费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11,283,362.12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23,853,382.84</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办公费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10,013,183.60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8,375,443.12</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保险费</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9,735,854.15</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16,063,115.65</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82,890,384.62</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190,183,959.20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1,425,543,836.84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1,557,474,867.42</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与投资活动有关的现金</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收到的重要的与投资活动有关的现金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处置子公司收到的现金净额</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503,938,946.58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99,329,954.44</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收到拆迁或搬迁补偿款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138,000,000.00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处置房产或物业资产</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61,500,000.00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503,938,946.58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298,829,954.44</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支付的重要的与投资活动有关的现金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工程项目、土地和固定资产支出</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314,376,125.86</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取得子公司支付的现金净额</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4,934,751.03</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319,310,876.89</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（3） 与筹资活动有关的现金</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收到的其他与筹资活动有关的现金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lastRenderedPageBreak/>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保证金净回收</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5,592,493,318.93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434,899,520.51</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设备售后回租</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1,246,000,000.00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2,116,532,500.00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往来拆借</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135,100,000.00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融资租赁保证金</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10,758,363.18</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6,838,493,318.93</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2,697,290,383.69</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支付的其他与筹资活动有关的现金</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5"/>
        <w:gridCol w:w="3283"/>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偿还设备售后回租款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2,134,347,896.07</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2,761,859,486.35</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购买少数股权</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国</w:t>
            </w:r>
            <w:proofErr w:type="gramStart"/>
            <w:r>
              <w:rPr>
                <w:rFonts w:ascii="Times New Roman" w:hAnsi="Times New Roman" w:cs="Times New Roman"/>
                <w:color w:val="000000"/>
                <w:sz w:val="18"/>
                <w:szCs w:val="18"/>
              </w:rPr>
              <w:t>开基金</w:t>
            </w:r>
            <w:proofErr w:type="gramEnd"/>
            <w:r>
              <w:rPr>
                <w:rFonts w:ascii="Times New Roman" w:hAnsi="Times New Roman" w:cs="Times New Roman"/>
                <w:color w:val="000000"/>
                <w:sz w:val="18"/>
                <w:szCs w:val="18"/>
              </w:rPr>
              <w:t>股权</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68,750,000.00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68,750,000.00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往来拆借</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68,200,000.00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股权激励回购</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67,391,949.19</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66,228,770.38</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融资租赁保证金</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22,550,000.00</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68,250,000.00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租赁应付款</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1,465,902.88</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7,013,099.60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偿还永续债</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偿还到期债券</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350,000,000.00</w:t>
            </w:r>
          </w:p>
        </w:tc>
      </w:tr>
      <w:tr w:rsidR="00403CD6">
        <w:trPr>
          <w:trHeight w:val="284"/>
        </w:trPr>
        <w:tc>
          <w:tcPr>
            <w:tcW w:w="1667"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偿还永续债券利息</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89,700,000.00</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2,662,705,748.14</w:t>
            </w:r>
          </w:p>
        </w:tc>
        <w:tc>
          <w:tcPr>
            <w:tcW w:w="166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4,611,801,356.33</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筹资活动产生的各项负债变动情况</w:t>
      </w:r>
    </w:p>
    <w:p w:rsidR="00403CD6" w:rsidRDefault="00E91A59">
      <w:pPr>
        <w:spacing w:before="40" w:after="4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4"/>
        <w:gridCol w:w="1703"/>
        <w:gridCol w:w="1701"/>
        <w:gridCol w:w="1559"/>
        <w:gridCol w:w="1423"/>
        <w:gridCol w:w="993"/>
        <w:gridCol w:w="950"/>
      </w:tblGrid>
      <w:tr w:rsidR="00403CD6">
        <w:trPr>
          <w:trHeight w:val="284"/>
        </w:trPr>
        <w:tc>
          <w:tcPr>
            <w:tcW w:w="77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86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1654"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本期增加</w:t>
            </w:r>
          </w:p>
        </w:tc>
        <w:tc>
          <w:tcPr>
            <w:tcW w:w="1226"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本期减少</w:t>
            </w:r>
          </w:p>
        </w:tc>
        <w:tc>
          <w:tcPr>
            <w:tcW w:w="48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773" w:type="pct"/>
            <w:vMerge/>
            <w:vAlign w:val="center"/>
          </w:tcPr>
          <w:p w:rsidR="00403CD6" w:rsidRDefault="00403CD6">
            <w:pPr>
              <w:widowControl/>
              <w:rPr>
                <w:rFonts w:ascii="Times New Roman" w:eastAsia="宋体" w:hAnsi="Times New Roman" w:cs="Times New Roman"/>
                <w:sz w:val="18"/>
                <w:szCs w:val="18"/>
              </w:rPr>
            </w:pPr>
          </w:p>
        </w:tc>
        <w:tc>
          <w:tcPr>
            <w:tcW w:w="864" w:type="pct"/>
            <w:vMerge/>
            <w:vAlign w:val="center"/>
          </w:tcPr>
          <w:p w:rsidR="00403CD6" w:rsidRDefault="00403CD6">
            <w:pPr>
              <w:widowControl/>
              <w:rPr>
                <w:rFonts w:ascii="Times New Roman" w:eastAsia="宋体" w:hAnsi="Times New Roman" w:cs="Times New Roman"/>
                <w:sz w:val="18"/>
                <w:szCs w:val="18"/>
              </w:rPr>
            </w:pP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现金变动</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非现金变动</w:t>
            </w:r>
          </w:p>
        </w:tc>
        <w:tc>
          <w:tcPr>
            <w:tcW w:w="72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现金变动</w:t>
            </w:r>
          </w:p>
        </w:tc>
        <w:tc>
          <w:tcPr>
            <w:tcW w:w="50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非现金变动</w:t>
            </w:r>
          </w:p>
        </w:tc>
        <w:tc>
          <w:tcPr>
            <w:tcW w:w="482"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7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短期借款</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33,475,479,021.62 </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23,806,795,311.77 </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1,382,346,360.93 </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31,884,261,885.21 </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26,780,358,809.11 </w:t>
            </w:r>
          </w:p>
        </w:tc>
      </w:tr>
      <w:tr w:rsidR="00403CD6">
        <w:trPr>
          <w:trHeight w:val="284"/>
        </w:trPr>
        <w:tc>
          <w:tcPr>
            <w:tcW w:w="7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长期借款</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5,954,917,145.70 </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2,360,645,554.68</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108,429,947.45 </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1,437,574,169.65 </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1,015,000,000.00 </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5,971,418,478.18 </w:t>
            </w:r>
          </w:p>
        </w:tc>
      </w:tr>
      <w:tr w:rsidR="00403CD6">
        <w:trPr>
          <w:trHeight w:val="284"/>
        </w:trPr>
        <w:tc>
          <w:tcPr>
            <w:tcW w:w="7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长期应付款</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4,895,437,672.17 </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1,246,000,000.00 </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143,321,969.87</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2,265,097,896.07 </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4,019,661,745.97 </w:t>
            </w:r>
          </w:p>
        </w:tc>
      </w:tr>
      <w:tr w:rsidR="00403CD6">
        <w:trPr>
          <w:trHeight w:val="284"/>
        </w:trPr>
        <w:tc>
          <w:tcPr>
            <w:tcW w:w="7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其他应付款（筹资）</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282,524,750.00 </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1,056,991,631.38 </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267,610,000.00 </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1,071,906,381.38 </w:t>
            </w:r>
          </w:p>
        </w:tc>
      </w:tr>
      <w:tr w:rsidR="00403CD6">
        <w:trPr>
          <w:trHeight w:val="284"/>
        </w:trPr>
        <w:tc>
          <w:tcPr>
            <w:tcW w:w="77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租赁负债</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45,679,590.10 </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5,267,375.01 </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1,465,902.88 </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9,931,602.38</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39,549,459.85</w:t>
            </w:r>
          </w:p>
        </w:tc>
      </w:tr>
      <w:tr w:rsidR="00403CD6">
        <w:trPr>
          <w:trHeight w:val="284"/>
        </w:trPr>
        <w:tc>
          <w:tcPr>
            <w:tcW w:w="77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8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44,654,038,179.59</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28,470,432,497.83</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1,639,365,653.26</w:t>
            </w:r>
          </w:p>
        </w:tc>
        <w:tc>
          <w:tcPr>
            <w:tcW w:w="72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35,856,009,853.81</w:t>
            </w:r>
          </w:p>
        </w:tc>
        <w:tc>
          <w:tcPr>
            <w:tcW w:w="50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1,024,931,602.38</w:t>
            </w:r>
          </w:p>
        </w:tc>
        <w:tc>
          <w:tcPr>
            <w:tcW w:w="482"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37,882,894,874.49</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64、现金流量表补充资料</w:t>
      </w:r>
    </w:p>
    <w:p w:rsidR="00403CD6" w:rsidRDefault="00E91A59">
      <w:pPr>
        <w:keepNext/>
        <w:keepLines/>
        <w:spacing w:before="300" w:after="300" w:line="280" w:lineRule="exact"/>
        <w:outlineLvl w:val="3"/>
        <w:rPr>
          <w:rFonts w:ascii="宋体" w:eastAsia="宋体" w:hAnsi="宋体" w:cs="宋体"/>
          <w:b/>
          <w:bCs/>
          <w:szCs w:val="21"/>
        </w:rPr>
      </w:pPr>
      <w:bookmarkStart w:id="111" w:name="_Toc989398"/>
      <w:r>
        <w:rPr>
          <w:rFonts w:ascii="宋体" w:eastAsia="宋体" w:hAnsi="宋体" w:cs="宋体" w:hint="eastAsia"/>
          <w:b/>
          <w:bCs/>
          <w:szCs w:val="21"/>
        </w:rPr>
        <w:t>（1） 现金流量表补充资料</w:t>
      </w:r>
      <w:bookmarkEnd w:id="111"/>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7"/>
        <w:gridCol w:w="1701"/>
        <w:gridCol w:w="1665"/>
      </w:tblGrid>
      <w:tr w:rsidR="00403CD6">
        <w:trPr>
          <w:trHeight w:val="284"/>
        </w:trPr>
        <w:tc>
          <w:tcPr>
            <w:tcW w:w="32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补充资料</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本期金额</w:t>
            </w:r>
          </w:p>
        </w:tc>
        <w:tc>
          <w:tcPr>
            <w:tcW w:w="8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上期金额</w:t>
            </w:r>
          </w:p>
        </w:tc>
      </w:tr>
      <w:tr w:rsidR="00403CD6">
        <w:trPr>
          <w:trHeight w:val="284"/>
        </w:trPr>
        <w:tc>
          <w:tcPr>
            <w:tcW w:w="32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．将净利润调节为经营活动现金流量</w:t>
            </w:r>
          </w:p>
        </w:tc>
        <w:tc>
          <w:tcPr>
            <w:tcW w:w="863" w:type="pct"/>
            <w:shd w:val="clear" w:color="auto" w:fill="D3D3D3"/>
            <w:vAlign w:val="center"/>
          </w:tcPr>
          <w:p w:rsidR="00403CD6" w:rsidRDefault="00403CD6">
            <w:pPr>
              <w:rPr>
                <w:rFonts w:ascii="Times New Roman" w:hAnsi="Times New Roman" w:cs="Times New Roman"/>
              </w:rPr>
            </w:pPr>
          </w:p>
        </w:tc>
        <w:tc>
          <w:tcPr>
            <w:tcW w:w="845"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lastRenderedPageBreak/>
              <w:t>净利润</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sidRPr="004E1CA6">
              <w:rPr>
                <w:rFonts w:ascii="Times New Roman" w:hAnsi="Times New Roman" w:cs="Times New Roman"/>
                <w:sz w:val="18"/>
                <w:szCs w:val="18"/>
              </w:rPr>
              <w:t>-7,793,019,417.29</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-1,326,642,417.86 </w:t>
            </w: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加：减值准备</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3,530,844,614.71</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364,963,548.61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固定资产折旧、</w:t>
            </w:r>
            <w:r>
              <w:rPr>
                <w:rFonts w:ascii="Times New Roman" w:eastAsia="宋体" w:hAnsi="Times New Roman" w:cs="Times New Roman" w:hint="eastAsia"/>
                <w:sz w:val="18"/>
                <w:szCs w:val="18"/>
              </w:rPr>
              <w:t>投资性房地产折旧</w:t>
            </w:r>
            <w:r>
              <w:rPr>
                <w:rFonts w:ascii="Times New Roman" w:eastAsia="宋体" w:hAnsi="Times New Roman" w:cs="Times New Roman"/>
                <w:sz w:val="18"/>
                <w:szCs w:val="18"/>
              </w:rPr>
              <w:t>、生产性生物资产折旧</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2,309,092,359.37</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2,258,072,937.60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使用权资产折旧</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9,158,391.16</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7,674,988.32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无形资产摊销</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53,604,298.74</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53,903,852.31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长期待摊费用摊销</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17,291,989.71</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4,580,218.92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处置固定资产、无形资产和其他长期资产的损失（收益以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-55,406,263.64</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-14,607,428.91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固定资产报废损失（收益以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17,180,654.09</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4,490,003.16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公允价值变动损失（收益以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192,216,967.50</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25,555,304.50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财务费用（收益以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1,869,661,335.22</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1,908,394,881.89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投资损失（收益以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766,913,269.23</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-505,067,035.78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递延所得税资产减少（增加以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sidRPr="004E1CA6">
              <w:rPr>
                <w:rFonts w:ascii="Times New Roman" w:hAnsi="Times New Roman" w:cs="Times New Roman"/>
                <w:sz w:val="18"/>
                <w:szCs w:val="18"/>
              </w:rPr>
              <w:t>-100,781,137.74</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-354,157,315.89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递延所得税负债增加（减少以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-894,414.72</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1,308,894.76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存货的减少（增加以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1,876,512,079.56</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741,332,805.87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经营性应收项目的减少（增加以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Pr>
                <w:rFonts w:ascii="Times New Roman" w:hAnsi="Times New Roman" w:cs="Times New Roman"/>
                <w:sz w:val="18"/>
                <w:szCs w:val="18"/>
              </w:rPr>
              <w:t>795,688,330.88</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348,500,778.63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经营性应付项目的增加（减少以</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w:t>
            </w:r>
            <w:r>
              <w:rPr>
                <w:rFonts w:ascii="Times New Roman" w:eastAsia="宋体" w:hAnsi="Times New Roman" w:cs="Times New Roman"/>
                <w:sz w:val="18"/>
                <w:szCs w:val="18"/>
              </w:rPr>
              <w:t>号填列）</w:t>
            </w:r>
          </w:p>
        </w:tc>
        <w:tc>
          <w:tcPr>
            <w:tcW w:w="863" w:type="pct"/>
            <w:vAlign w:val="center"/>
          </w:tcPr>
          <w:p w:rsidR="00403CD6" w:rsidRPr="004E1CA6" w:rsidRDefault="00E91A59">
            <w:pPr>
              <w:spacing w:before="100" w:beforeAutospacing="1" w:after="100" w:afterAutospacing="1" w:line="240" w:lineRule="exact"/>
              <w:jc w:val="right"/>
              <w:rPr>
                <w:rFonts w:ascii="Times New Roman" w:hAnsi="Times New Roman" w:cs="Times New Roman"/>
                <w:sz w:val="18"/>
                <w:szCs w:val="18"/>
              </w:rPr>
            </w:pPr>
            <w:r w:rsidRPr="004E1CA6">
              <w:rPr>
                <w:rFonts w:ascii="Times New Roman" w:hAnsi="Times New Roman" w:cs="Times New Roman"/>
                <w:sz w:val="18"/>
                <w:szCs w:val="18"/>
              </w:rPr>
              <w:t>-864,871,392.18</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871,645,292.69</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3292"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经营活动产生的现金流量净额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2,623,191,664.60</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4,389,949,308.82</w:t>
            </w:r>
          </w:p>
        </w:tc>
      </w:tr>
      <w:tr w:rsidR="00403CD6">
        <w:trPr>
          <w:trHeight w:val="284"/>
        </w:trPr>
        <w:tc>
          <w:tcPr>
            <w:tcW w:w="32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2</w:t>
            </w:r>
            <w:r>
              <w:rPr>
                <w:rFonts w:ascii="Times New Roman" w:eastAsia="宋体" w:hAnsi="Times New Roman" w:cs="Times New Roman"/>
                <w:sz w:val="18"/>
                <w:szCs w:val="18"/>
              </w:rPr>
              <w:t>．不涉及现金收支的重大投资和筹资活动</w:t>
            </w:r>
          </w:p>
        </w:tc>
        <w:tc>
          <w:tcPr>
            <w:tcW w:w="863" w:type="pct"/>
            <w:shd w:val="clear" w:color="auto" w:fill="D3D3D3"/>
            <w:vAlign w:val="center"/>
          </w:tcPr>
          <w:p w:rsidR="00403CD6" w:rsidRDefault="00403CD6">
            <w:pPr>
              <w:rPr>
                <w:rFonts w:ascii="Times New Roman" w:hAnsi="Times New Roman" w:cs="Times New Roman"/>
              </w:rPr>
            </w:pPr>
          </w:p>
        </w:tc>
        <w:tc>
          <w:tcPr>
            <w:tcW w:w="845"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债务转为资本</w:t>
            </w:r>
          </w:p>
        </w:tc>
        <w:tc>
          <w:tcPr>
            <w:tcW w:w="863" w:type="pct"/>
            <w:vAlign w:val="center"/>
          </w:tcPr>
          <w:p w:rsidR="00403CD6" w:rsidRDefault="00403CD6">
            <w:pPr>
              <w:spacing w:line="240" w:lineRule="exact"/>
              <w:jc w:val="right"/>
              <w:rPr>
                <w:rFonts w:ascii="Times New Roman" w:eastAsia="宋体" w:hAnsi="Times New Roman" w:cs="Times New Roman"/>
                <w:sz w:val="18"/>
                <w:szCs w:val="18"/>
              </w:rPr>
            </w:pPr>
          </w:p>
        </w:tc>
        <w:tc>
          <w:tcPr>
            <w:tcW w:w="84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一年内到期的可转换公司债</w:t>
            </w:r>
            <w:proofErr w:type="gramStart"/>
            <w:r>
              <w:rPr>
                <w:rFonts w:ascii="Times New Roman" w:eastAsia="宋体" w:hAnsi="Times New Roman" w:cs="Times New Roman"/>
                <w:sz w:val="18"/>
                <w:szCs w:val="18"/>
              </w:rPr>
              <w:t>券</w:t>
            </w:r>
            <w:proofErr w:type="gramEnd"/>
          </w:p>
        </w:tc>
        <w:tc>
          <w:tcPr>
            <w:tcW w:w="863" w:type="pct"/>
            <w:vAlign w:val="center"/>
          </w:tcPr>
          <w:p w:rsidR="00403CD6" w:rsidRDefault="00403CD6">
            <w:pPr>
              <w:spacing w:line="240" w:lineRule="exact"/>
              <w:jc w:val="right"/>
              <w:rPr>
                <w:rFonts w:ascii="Times New Roman" w:eastAsia="宋体" w:hAnsi="Times New Roman" w:cs="Times New Roman"/>
                <w:sz w:val="18"/>
                <w:szCs w:val="18"/>
              </w:rPr>
            </w:pPr>
          </w:p>
        </w:tc>
        <w:tc>
          <w:tcPr>
            <w:tcW w:w="84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融资租入固定资产</w:t>
            </w:r>
          </w:p>
        </w:tc>
        <w:tc>
          <w:tcPr>
            <w:tcW w:w="863" w:type="pct"/>
            <w:vAlign w:val="center"/>
          </w:tcPr>
          <w:p w:rsidR="00403CD6" w:rsidRDefault="00403CD6">
            <w:pPr>
              <w:spacing w:line="240" w:lineRule="exact"/>
              <w:jc w:val="right"/>
              <w:rPr>
                <w:rFonts w:ascii="Times New Roman" w:eastAsia="宋体" w:hAnsi="Times New Roman" w:cs="Times New Roman"/>
                <w:sz w:val="18"/>
                <w:szCs w:val="18"/>
              </w:rPr>
            </w:pPr>
          </w:p>
        </w:tc>
        <w:tc>
          <w:tcPr>
            <w:tcW w:w="84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hint="eastAsia"/>
                <w:sz w:val="18"/>
                <w:szCs w:val="18"/>
              </w:rPr>
              <w:t>新增使用权资产</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103,125,000.00</w:t>
            </w:r>
          </w:p>
        </w:tc>
        <w:tc>
          <w:tcPr>
            <w:tcW w:w="84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3292"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3</w:t>
            </w:r>
            <w:r>
              <w:rPr>
                <w:rFonts w:ascii="Times New Roman" w:eastAsia="宋体" w:hAnsi="Times New Roman" w:cs="Times New Roman"/>
                <w:sz w:val="18"/>
                <w:szCs w:val="18"/>
              </w:rPr>
              <w:t>．现金及现金等价物净变动情况：</w:t>
            </w:r>
          </w:p>
        </w:tc>
        <w:tc>
          <w:tcPr>
            <w:tcW w:w="863" w:type="pct"/>
            <w:shd w:val="clear" w:color="auto" w:fill="D3D3D3"/>
            <w:vAlign w:val="center"/>
          </w:tcPr>
          <w:p w:rsidR="00403CD6" w:rsidRDefault="00403CD6">
            <w:pPr>
              <w:rPr>
                <w:rFonts w:ascii="Times New Roman" w:hAnsi="Times New Roman" w:cs="Times New Roman"/>
              </w:rPr>
            </w:pPr>
          </w:p>
        </w:tc>
        <w:tc>
          <w:tcPr>
            <w:tcW w:w="845" w:type="pct"/>
            <w:shd w:val="clear" w:color="auto" w:fill="D3D3D3"/>
            <w:vAlign w:val="center"/>
          </w:tcPr>
          <w:p w:rsidR="00403CD6" w:rsidRDefault="00403CD6">
            <w:pPr>
              <w:rPr>
                <w:rFonts w:ascii="Times New Roman" w:hAnsi="Times New Roman" w:cs="Times New Roman"/>
              </w:rPr>
            </w:pP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现金的期末余额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151,943,246.31</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764,233,742.61 </w:t>
            </w: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减：现金的期初余额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764,233,742.61</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2,159,460,149.51 </w:t>
            </w: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加：现金等价物的期末余额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减：现金等价物的期初余额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　</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3292" w:type="pct"/>
            <w:shd w:val="clear" w:color="auto" w:fill="D3D3D3"/>
            <w:vAlign w:val="center"/>
          </w:tcPr>
          <w:p w:rsidR="00403CD6" w:rsidRDefault="00E91A59">
            <w:pPr>
              <w:spacing w:before="40" w:after="40" w:line="240" w:lineRule="exact"/>
              <w:ind w:firstLineChars="100" w:firstLine="180"/>
              <w:rPr>
                <w:rFonts w:ascii="Times New Roman" w:eastAsia="宋体" w:hAnsi="Times New Roman" w:cs="Times New Roman"/>
                <w:sz w:val="18"/>
                <w:szCs w:val="18"/>
              </w:rPr>
            </w:pPr>
            <w:r>
              <w:rPr>
                <w:rFonts w:ascii="Times New Roman" w:eastAsia="宋体" w:hAnsi="Times New Roman" w:cs="Times New Roman"/>
                <w:sz w:val="18"/>
                <w:szCs w:val="18"/>
              </w:rPr>
              <w:t>现金及现金等价物净增加额</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sz w:val="18"/>
                <w:szCs w:val="18"/>
              </w:rPr>
              <w:t xml:space="preserve">-612,290,496.30 </w:t>
            </w:r>
          </w:p>
        </w:tc>
        <w:tc>
          <w:tcPr>
            <w:tcW w:w="8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-1,395,226,406.90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本期收到的处置子公司的现金净额</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403CD6">
        <w:trPr>
          <w:trHeight w:val="284"/>
        </w:trPr>
        <w:tc>
          <w:tcPr>
            <w:tcW w:w="2500" w:type="pct"/>
            <w:shd w:val="clear" w:color="auto" w:fill="D3D3D3"/>
            <w:vAlign w:val="center"/>
          </w:tcPr>
          <w:p w:rsidR="00403CD6" w:rsidRDefault="00403CD6">
            <w:pPr>
              <w:rPr>
                <w:rFonts w:ascii="Times New Roman" w:hAnsi="Times New Roman" w:cs="Times New Roman"/>
              </w:rPr>
            </w:pPr>
          </w:p>
        </w:tc>
        <w:tc>
          <w:tcPr>
            <w:tcW w:w="250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本期处置子公司于本期收到的现金或现金等价物</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143,730,000.00</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w:t>
            </w:r>
            <w:proofErr w:type="gramStart"/>
            <w:r>
              <w:rPr>
                <w:rFonts w:ascii="Times New Roman" w:eastAsia="宋体" w:hAnsi="Times New Roman" w:cs="Times New Roman" w:hint="eastAsia"/>
                <w:sz w:val="18"/>
                <w:szCs w:val="18"/>
              </w:rPr>
              <w:t>昆山拓安塑料</w:t>
            </w:r>
            <w:proofErr w:type="gramEnd"/>
            <w:r>
              <w:rPr>
                <w:rFonts w:ascii="Times New Roman" w:eastAsia="宋体" w:hAnsi="Times New Roman" w:cs="Times New Roman" w:hint="eastAsia"/>
                <w:sz w:val="18"/>
                <w:szCs w:val="18"/>
              </w:rPr>
              <w:t>制品有限公司</w:t>
            </w:r>
          </w:p>
        </w:tc>
        <w:tc>
          <w:tcPr>
            <w:tcW w:w="2500" w:type="pct"/>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143,730,000.00</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减：丧失控制权日子公司持有的现金及现金等价物</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20,091,053.42</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w:t>
            </w:r>
            <w:proofErr w:type="gramStart"/>
            <w:r>
              <w:rPr>
                <w:rFonts w:ascii="Times New Roman" w:eastAsia="宋体" w:hAnsi="Times New Roman" w:cs="Times New Roman" w:hint="eastAsia"/>
                <w:sz w:val="18"/>
                <w:szCs w:val="18"/>
              </w:rPr>
              <w:t>昆山拓安塑料</w:t>
            </w:r>
            <w:proofErr w:type="gramEnd"/>
            <w:r>
              <w:rPr>
                <w:rFonts w:ascii="Times New Roman" w:eastAsia="宋体" w:hAnsi="Times New Roman" w:cs="Times New Roman" w:hint="eastAsia"/>
                <w:sz w:val="18"/>
                <w:szCs w:val="18"/>
              </w:rPr>
              <w:t>制品有限公司</w:t>
            </w:r>
          </w:p>
        </w:tc>
        <w:tc>
          <w:tcPr>
            <w:tcW w:w="2500" w:type="pct"/>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20,091,053.42</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加：以前期间处置子公司于本期收到的现金或现金等价物</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380,300,000.00</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hint="eastAsia"/>
                <w:color w:val="000000"/>
                <w:sz w:val="18"/>
                <w:szCs w:val="18"/>
              </w:rPr>
              <w:t>其中：武汉晨鸣汉阳纸业股份有限公司</w:t>
            </w:r>
          </w:p>
        </w:tc>
        <w:tc>
          <w:tcPr>
            <w:tcW w:w="2500" w:type="pct"/>
            <w:shd w:val="clear" w:color="auto" w:fill="D3D3D3"/>
            <w:vAlign w:val="center"/>
          </w:tcPr>
          <w:p w:rsidR="00403CD6" w:rsidRDefault="00E91A59">
            <w:pPr>
              <w:jc w:val="right"/>
              <w:rPr>
                <w:rFonts w:ascii="Times New Roman" w:hAnsi="Times New Roman" w:cs="Times New Roman"/>
              </w:rPr>
            </w:pPr>
            <w:r>
              <w:rPr>
                <w:rFonts w:ascii="Times New Roman" w:hAnsi="Times New Roman" w:cs="Times New Roman"/>
                <w:color w:val="000000"/>
                <w:sz w:val="18"/>
                <w:szCs w:val="18"/>
              </w:rPr>
              <w:t>380,000,000.00</w:t>
            </w:r>
          </w:p>
        </w:tc>
      </w:tr>
      <w:tr w:rsidR="00403CD6">
        <w:trPr>
          <w:trHeight w:val="284"/>
        </w:trPr>
        <w:tc>
          <w:tcPr>
            <w:tcW w:w="2500"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 xml:space="preserve">            </w:t>
            </w:r>
            <w:r>
              <w:rPr>
                <w:rFonts w:hint="eastAsia"/>
                <w:color w:val="000000"/>
                <w:sz w:val="18"/>
                <w:szCs w:val="18"/>
              </w:rPr>
              <w:t>湛江晨鸣新型墙</w:t>
            </w:r>
            <w:proofErr w:type="gramStart"/>
            <w:r>
              <w:rPr>
                <w:rFonts w:hint="eastAsia"/>
                <w:color w:val="000000"/>
                <w:sz w:val="18"/>
                <w:szCs w:val="18"/>
              </w:rPr>
              <w:t>体材</w:t>
            </w:r>
            <w:proofErr w:type="gramEnd"/>
            <w:r>
              <w:rPr>
                <w:rFonts w:hint="eastAsia"/>
                <w:color w:val="000000"/>
                <w:sz w:val="18"/>
                <w:szCs w:val="18"/>
              </w:rPr>
              <w:t>料有限公司</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w:t>
            </w:r>
          </w:p>
        </w:tc>
      </w:tr>
      <w:tr w:rsidR="00403CD6">
        <w:trPr>
          <w:trHeight w:val="284"/>
        </w:trPr>
        <w:tc>
          <w:tcPr>
            <w:tcW w:w="2500"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处置子公司收到的现金净额</w:t>
            </w:r>
          </w:p>
        </w:tc>
        <w:tc>
          <w:tcPr>
            <w:tcW w:w="250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503,938,946.58</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lastRenderedPageBreak/>
        <w:t>（3） 现金和现金等价物的构成</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1"/>
        <w:gridCol w:w="2459"/>
        <w:gridCol w:w="1923"/>
      </w:tblGrid>
      <w:tr w:rsidR="00403CD6">
        <w:trPr>
          <w:trHeight w:val="284"/>
        </w:trPr>
        <w:tc>
          <w:tcPr>
            <w:tcW w:w="277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97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2776"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一、现金</w:t>
            </w:r>
          </w:p>
        </w:tc>
        <w:tc>
          <w:tcPr>
            <w:tcW w:w="12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151,943,246.31</w:t>
            </w:r>
          </w:p>
        </w:tc>
        <w:tc>
          <w:tcPr>
            <w:tcW w:w="9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764,233,742.61</w:t>
            </w:r>
          </w:p>
        </w:tc>
      </w:tr>
      <w:tr w:rsidR="00403CD6">
        <w:trPr>
          <w:trHeight w:val="284"/>
        </w:trPr>
        <w:tc>
          <w:tcPr>
            <w:tcW w:w="2776"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其中：库存现金</w:t>
            </w:r>
          </w:p>
        </w:tc>
        <w:tc>
          <w:tcPr>
            <w:tcW w:w="12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1,363,319.76</w:t>
            </w:r>
          </w:p>
        </w:tc>
        <w:tc>
          <w:tcPr>
            <w:tcW w:w="9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3,674,805.36</w:t>
            </w:r>
          </w:p>
        </w:tc>
      </w:tr>
      <w:tr w:rsidR="00403CD6">
        <w:trPr>
          <w:trHeight w:val="284"/>
        </w:trPr>
        <w:tc>
          <w:tcPr>
            <w:tcW w:w="2776" w:type="pct"/>
            <w:shd w:val="clear" w:color="auto" w:fill="D3D3D3"/>
            <w:vAlign w:val="center"/>
          </w:tcPr>
          <w:p w:rsidR="00403CD6" w:rsidRDefault="00E91A59">
            <w:pPr>
              <w:spacing w:before="40" w:after="40" w:line="240" w:lineRule="exact"/>
              <w:ind w:firstLineChars="300" w:firstLine="540"/>
              <w:rPr>
                <w:rFonts w:ascii="Times New Roman" w:eastAsia="宋体" w:hAnsi="Times New Roman" w:cs="Times New Roman"/>
                <w:sz w:val="18"/>
                <w:szCs w:val="18"/>
              </w:rPr>
            </w:pPr>
            <w:r>
              <w:rPr>
                <w:rFonts w:ascii="Times New Roman" w:eastAsia="宋体" w:hAnsi="Times New Roman" w:cs="Times New Roman"/>
                <w:sz w:val="18"/>
                <w:szCs w:val="18"/>
              </w:rPr>
              <w:t>可随时用于支付的银行存款</w:t>
            </w:r>
          </w:p>
        </w:tc>
        <w:tc>
          <w:tcPr>
            <w:tcW w:w="12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150,579,926.55</w:t>
            </w:r>
          </w:p>
        </w:tc>
        <w:tc>
          <w:tcPr>
            <w:tcW w:w="9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760,558,937.25</w:t>
            </w:r>
          </w:p>
        </w:tc>
      </w:tr>
      <w:tr w:rsidR="00403CD6">
        <w:trPr>
          <w:trHeight w:val="284"/>
        </w:trPr>
        <w:tc>
          <w:tcPr>
            <w:tcW w:w="2776"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三、期末现金及现金等价物余额</w:t>
            </w:r>
          </w:p>
        </w:tc>
        <w:tc>
          <w:tcPr>
            <w:tcW w:w="12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151,943,246.31</w:t>
            </w:r>
          </w:p>
        </w:tc>
        <w:tc>
          <w:tcPr>
            <w:tcW w:w="97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764,233,742.61</w:t>
            </w:r>
          </w:p>
        </w:tc>
      </w:tr>
      <w:tr w:rsidR="00403CD6">
        <w:trPr>
          <w:trHeight w:val="284"/>
        </w:trPr>
        <w:tc>
          <w:tcPr>
            <w:tcW w:w="2776"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其中：母公司或集团内子公司使用受限制的现金和现金等价物</w:t>
            </w:r>
          </w:p>
        </w:tc>
        <w:tc>
          <w:tcPr>
            <w:tcW w:w="1248" w:type="pct"/>
            <w:vAlign w:val="center"/>
          </w:tcPr>
          <w:p w:rsidR="00403CD6" w:rsidRDefault="00403CD6">
            <w:pPr>
              <w:spacing w:line="240" w:lineRule="exact"/>
              <w:jc w:val="right"/>
              <w:rPr>
                <w:rFonts w:ascii="Times New Roman" w:eastAsia="宋体" w:hAnsi="Times New Roman" w:cs="Times New Roman"/>
                <w:sz w:val="18"/>
                <w:szCs w:val="18"/>
              </w:rPr>
            </w:pPr>
          </w:p>
        </w:tc>
        <w:tc>
          <w:tcPr>
            <w:tcW w:w="976" w:type="pct"/>
            <w:vAlign w:val="center"/>
          </w:tcPr>
          <w:p w:rsidR="00403CD6" w:rsidRDefault="00403CD6">
            <w:pPr>
              <w:spacing w:line="240" w:lineRule="exact"/>
              <w:jc w:val="right"/>
              <w:rPr>
                <w:rFonts w:ascii="Times New Roman" w:eastAsia="宋体"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（4） 不属于现金及现金等价物的货币资金</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2463"/>
        <w:gridCol w:w="2463"/>
        <w:gridCol w:w="2463"/>
      </w:tblGrid>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本期金额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上期金额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不属于现金及现金等价物的理由</w:t>
            </w:r>
          </w:p>
        </w:tc>
      </w:tr>
      <w:tr w:rsidR="00403CD6">
        <w:trPr>
          <w:trHeight w:val="284"/>
        </w:trPr>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其他货币资金</w:t>
            </w:r>
          </w:p>
        </w:tc>
        <w:tc>
          <w:tcPr>
            <w:tcW w:w="125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5,728,747,806.12</w:t>
            </w:r>
          </w:p>
        </w:tc>
        <w:tc>
          <w:tcPr>
            <w:tcW w:w="125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11,321,241,125.05</w:t>
            </w:r>
          </w:p>
        </w:tc>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详见附注七、</w:t>
            </w:r>
            <w:r>
              <w:rPr>
                <w:rFonts w:ascii="Times New Roman" w:hAnsi="Times New Roman" w:cs="Times New Roman"/>
                <w:color w:val="000000"/>
                <w:sz w:val="18"/>
                <w:szCs w:val="18"/>
              </w:rPr>
              <w:t>1</w:t>
            </w:r>
          </w:p>
        </w:tc>
      </w:tr>
      <w:tr w:rsidR="00403CD6">
        <w:trPr>
          <w:trHeight w:val="284"/>
        </w:trPr>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存款应计利息</w:t>
            </w:r>
          </w:p>
        </w:tc>
        <w:tc>
          <w:tcPr>
            <w:tcW w:w="125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29,188,759.75</w:t>
            </w:r>
          </w:p>
        </w:tc>
        <w:tc>
          <w:tcPr>
            <w:tcW w:w="1250"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39,357,963.64</w:t>
            </w:r>
          </w:p>
        </w:tc>
        <w:tc>
          <w:tcPr>
            <w:tcW w:w="125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详见附注七、</w:t>
            </w:r>
            <w:r>
              <w:rPr>
                <w:rFonts w:ascii="Times New Roman" w:hAnsi="Times New Roman" w:cs="Times New Roman"/>
                <w:color w:val="000000"/>
                <w:sz w:val="18"/>
                <w:szCs w:val="18"/>
              </w:rPr>
              <w:t>1</w:t>
            </w:r>
          </w:p>
        </w:tc>
      </w:tr>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5,757,936,565.87</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11,360,599,088.69</w:t>
            </w:r>
          </w:p>
        </w:tc>
        <w:tc>
          <w:tcPr>
            <w:tcW w:w="1250" w:type="pct"/>
            <w:shd w:val="clear" w:color="auto" w:fill="D3D3D3"/>
            <w:vAlign w:val="center"/>
          </w:tcPr>
          <w:p w:rsidR="00403CD6" w:rsidRDefault="00403CD6">
            <w:pPr>
              <w:rPr>
                <w:rFonts w:ascii="Times New Roman" w:hAnsi="Times New Roman" w:cs="Times New Roman"/>
              </w:rPr>
            </w:pP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65、所有者权益变动</w:t>
      </w:r>
      <w:proofErr w:type="gramStart"/>
      <w:r>
        <w:rPr>
          <w:rFonts w:ascii="宋体" w:eastAsia="宋体" w:hAnsi="宋体" w:cs="宋体" w:hint="eastAsia"/>
          <w:b/>
          <w:bCs/>
          <w:szCs w:val="21"/>
        </w:rPr>
        <w:t>表项目</w:t>
      </w:r>
      <w:proofErr w:type="gramEnd"/>
      <w:r>
        <w:rPr>
          <w:rFonts w:ascii="宋体" w:eastAsia="宋体" w:hAnsi="宋体" w:cs="宋体" w:hint="eastAsia"/>
          <w:b/>
          <w:bCs/>
          <w:szCs w:val="21"/>
        </w:rPr>
        <w:t>注释</w:t>
      </w:r>
    </w:p>
    <w:p w:rsidR="00403CD6" w:rsidRDefault="00E91A59">
      <w:r>
        <w:rPr>
          <w:rFonts w:hint="eastAsia"/>
        </w:rPr>
        <w:t>无</w:t>
      </w:r>
    </w:p>
    <w:p w:rsidR="00403CD6" w:rsidRDefault="00E91A59">
      <w:pPr>
        <w:keepNext/>
        <w:keepLines/>
        <w:spacing w:before="300" w:after="300" w:line="280" w:lineRule="exact"/>
        <w:outlineLvl w:val="2"/>
        <w:rPr>
          <w:rFonts w:ascii="宋体" w:eastAsia="宋体" w:hAnsi="宋体" w:cs="宋体"/>
          <w:b/>
          <w:bCs/>
          <w:szCs w:val="21"/>
        </w:rPr>
      </w:pPr>
      <w:bookmarkStart w:id="112" w:name="_Toc989406"/>
      <w:r>
        <w:rPr>
          <w:rFonts w:ascii="宋体" w:eastAsia="宋体" w:hAnsi="宋体" w:cs="宋体" w:hint="eastAsia"/>
          <w:b/>
          <w:bCs/>
          <w:szCs w:val="21"/>
        </w:rPr>
        <w:t>66、外币货币性项目</w:t>
      </w:r>
      <w:bookmarkEnd w:id="112"/>
    </w:p>
    <w:p w:rsidR="00403CD6" w:rsidRDefault="00E91A59">
      <w:pPr>
        <w:keepNext/>
        <w:keepLines/>
        <w:spacing w:before="300" w:after="300" w:line="280" w:lineRule="exact"/>
        <w:outlineLvl w:val="3"/>
        <w:rPr>
          <w:rFonts w:ascii="宋体" w:eastAsia="宋体" w:hAnsi="宋体" w:cs="宋体"/>
          <w:b/>
          <w:bCs/>
          <w:szCs w:val="21"/>
        </w:rPr>
      </w:pPr>
      <w:bookmarkStart w:id="113" w:name="_Toc989407"/>
      <w:r>
        <w:rPr>
          <w:rFonts w:ascii="宋体" w:eastAsia="宋体" w:hAnsi="宋体" w:cs="宋体" w:hint="eastAsia"/>
          <w:b/>
          <w:bCs/>
          <w:szCs w:val="21"/>
        </w:rPr>
        <w:t>（1） 外币货币性项目</w:t>
      </w:r>
      <w:bookmarkEnd w:id="113"/>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2"/>
        <w:gridCol w:w="2463"/>
        <w:gridCol w:w="2463"/>
        <w:gridCol w:w="2465"/>
      </w:tblGrid>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期末外币余额</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折算汇率</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期末折算人民币余额</w:t>
            </w:r>
          </w:p>
        </w:tc>
      </w:tr>
      <w:tr w:rsidR="00403CD6">
        <w:trPr>
          <w:trHeight w:val="284"/>
        </w:trPr>
        <w:tc>
          <w:tcPr>
            <w:tcW w:w="1249" w:type="pct"/>
            <w:shd w:val="clear" w:color="auto" w:fill="D3D3D3"/>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货币资金</w:t>
            </w:r>
          </w:p>
        </w:tc>
        <w:tc>
          <w:tcPr>
            <w:tcW w:w="1249" w:type="pct"/>
            <w:shd w:val="clear" w:color="auto" w:fill="auto"/>
            <w:vAlign w:val="center"/>
          </w:tcPr>
          <w:p w:rsidR="00403CD6" w:rsidRDefault="00403CD6">
            <w:pPr>
              <w:rPr>
                <w:rFonts w:ascii="Times New Roman" w:hAnsi="Times New Roman" w:cs="Times New Roman"/>
              </w:rPr>
            </w:pPr>
          </w:p>
        </w:tc>
        <w:tc>
          <w:tcPr>
            <w:tcW w:w="1249" w:type="pct"/>
            <w:shd w:val="clear" w:color="auto" w:fill="auto"/>
            <w:vAlign w:val="center"/>
          </w:tcPr>
          <w:p w:rsidR="00403CD6" w:rsidRDefault="00403CD6">
            <w:pPr>
              <w:rPr>
                <w:rFonts w:ascii="Times New Roman" w:hAnsi="Times New Roman" w:cs="Times New Roman"/>
              </w:rPr>
            </w:pPr>
          </w:p>
        </w:tc>
        <w:tc>
          <w:tcPr>
            <w:tcW w:w="1250"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其中：美元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54,052,617.90</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7.1884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388,551,838.51</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欧元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1,094,935.39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8,240,155.26</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港币</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1,554,765.99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0.9260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1,439,713.31</w:t>
            </w:r>
          </w:p>
        </w:tc>
      </w:tr>
      <w:tr w:rsidR="00403CD6">
        <w:trPr>
          <w:trHeight w:val="284"/>
        </w:trPr>
        <w:tc>
          <w:tcPr>
            <w:tcW w:w="1249" w:type="pct"/>
            <w:shd w:val="clear" w:color="auto" w:fill="D3D3D3"/>
            <w:vAlign w:val="center"/>
          </w:tcPr>
          <w:p w:rsidR="00403CD6" w:rsidRDefault="00E91A59">
            <w:pPr>
              <w:ind w:firstLineChars="300" w:firstLine="540"/>
              <w:rPr>
                <w:rFonts w:asciiTheme="minorEastAsia" w:hAnsiTheme="minorEastAsia" w:cstheme="minorEastAsia"/>
                <w:sz w:val="18"/>
                <w:szCs w:val="18"/>
              </w:rPr>
            </w:pPr>
            <w:r>
              <w:rPr>
                <w:rFonts w:asciiTheme="minorEastAsia" w:hAnsiTheme="minorEastAsia" w:cstheme="minorEastAsia" w:hint="eastAsia"/>
                <w:sz w:val="18"/>
                <w:szCs w:val="18"/>
              </w:rPr>
              <w:t>英镑</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1,777.90</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9.0765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16,137.11</w:t>
            </w:r>
          </w:p>
        </w:tc>
      </w:tr>
      <w:tr w:rsidR="00403CD6">
        <w:trPr>
          <w:trHeight w:val="284"/>
        </w:trPr>
        <w:tc>
          <w:tcPr>
            <w:tcW w:w="1249" w:type="pct"/>
            <w:shd w:val="clear" w:color="auto" w:fill="D3D3D3"/>
            <w:vAlign w:val="center"/>
          </w:tcPr>
          <w:p w:rsidR="00403CD6" w:rsidRDefault="00E91A59">
            <w:pPr>
              <w:ind w:firstLineChars="300" w:firstLine="540"/>
              <w:rPr>
                <w:rFonts w:asciiTheme="minorEastAsia" w:hAnsiTheme="minorEastAsia" w:cstheme="minorEastAsia"/>
                <w:sz w:val="18"/>
                <w:szCs w:val="18"/>
              </w:rPr>
            </w:pPr>
            <w:r>
              <w:rPr>
                <w:rFonts w:asciiTheme="minorEastAsia" w:hAnsiTheme="minorEastAsia" w:cstheme="minorEastAsia" w:hint="eastAsia"/>
                <w:sz w:val="18"/>
                <w:szCs w:val="18"/>
              </w:rPr>
              <w:t>新加坡元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3,985.09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5.3214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21,206.26</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日元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1,197.00</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0.0462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55.30</w:t>
            </w:r>
          </w:p>
        </w:tc>
      </w:tr>
      <w:tr w:rsidR="00403CD6">
        <w:trPr>
          <w:trHeight w:val="284"/>
        </w:trPr>
        <w:tc>
          <w:tcPr>
            <w:tcW w:w="1249" w:type="pct"/>
            <w:shd w:val="clear" w:color="auto" w:fill="D3D3D3"/>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应收账款</w:t>
            </w:r>
          </w:p>
        </w:tc>
        <w:tc>
          <w:tcPr>
            <w:tcW w:w="1249" w:type="pct"/>
            <w:shd w:val="clear" w:color="auto" w:fill="auto"/>
            <w:vAlign w:val="center"/>
          </w:tcPr>
          <w:p w:rsidR="00403CD6" w:rsidRDefault="00403CD6">
            <w:pPr>
              <w:rPr>
                <w:rFonts w:ascii="Times New Roman" w:hAnsi="Times New Roman" w:cs="Times New Roman"/>
                <w:sz w:val="18"/>
                <w:szCs w:val="18"/>
              </w:rPr>
            </w:pPr>
          </w:p>
        </w:tc>
        <w:tc>
          <w:tcPr>
            <w:tcW w:w="1249" w:type="pct"/>
            <w:shd w:val="clear" w:color="auto" w:fill="auto"/>
            <w:vAlign w:val="center"/>
          </w:tcPr>
          <w:p w:rsidR="00403CD6" w:rsidRDefault="00403CD6">
            <w:pPr>
              <w:rPr>
                <w:rFonts w:ascii="Times New Roman" w:hAnsi="Times New Roman" w:cs="Times New Roman"/>
                <w:sz w:val="18"/>
                <w:szCs w:val="18"/>
              </w:rPr>
            </w:pPr>
          </w:p>
        </w:tc>
        <w:tc>
          <w:tcPr>
            <w:tcW w:w="1250"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其中：美元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3,390,727.72</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7.1884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24,373,907.14</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欧元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100,814.49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758,699.61</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日元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146,734,998.00</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0.0462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6,779,156.91</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其他应收款</w:t>
            </w:r>
          </w:p>
        </w:tc>
        <w:tc>
          <w:tcPr>
            <w:tcW w:w="1249"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403CD6">
            <w:pPr>
              <w:jc w:val="right"/>
              <w:rPr>
                <w:rFonts w:ascii="Times New Roman" w:hAnsi="Times New Roman" w:cs="Times New Roman"/>
                <w:sz w:val="18"/>
                <w:szCs w:val="18"/>
              </w:rPr>
            </w:pPr>
          </w:p>
        </w:tc>
        <w:tc>
          <w:tcPr>
            <w:tcW w:w="1250"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其中：美元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1,043,513.63</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7.1884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7,501,193.38</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欧元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191,821.66</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1,443,592.27</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应付账款</w:t>
            </w: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50"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其中：美元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92,261,475.49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7.1884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663,212,390.41</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欧元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1,048,028.29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7,887,146.50</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lastRenderedPageBreak/>
              <w:t>其他应付款</w:t>
            </w: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50"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其中：美元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533,977.32</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7.1884  </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3,838,442.57</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欧元</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9,519.99</w:t>
            </w:r>
          </w:p>
        </w:tc>
        <w:tc>
          <w:tcPr>
            <w:tcW w:w="1249" w:type="pct"/>
            <w:shd w:val="clear" w:color="auto" w:fill="auto"/>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71,644.59</w:t>
            </w: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长期借款</w:t>
            </w: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49" w:type="pct"/>
            <w:shd w:val="clear" w:color="auto" w:fill="auto"/>
            <w:vAlign w:val="center"/>
          </w:tcPr>
          <w:p w:rsidR="00403CD6" w:rsidRDefault="00403CD6">
            <w:pPr>
              <w:jc w:val="right"/>
              <w:rPr>
                <w:rFonts w:ascii="Times New Roman" w:eastAsia="宋体" w:hAnsi="Times New Roman" w:cs="Times New Roman"/>
                <w:sz w:val="18"/>
                <w:szCs w:val="18"/>
              </w:rPr>
            </w:pPr>
          </w:p>
        </w:tc>
        <w:tc>
          <w:tcPr>
            <w:tcW w:w="1250" w:type="pct"/>
            <w:vAlign w:val="center"/>
          </w:tcPr>
          <w:p w:rsidR="00403CD6" w:rsidRDefault="00403CD6">
            <w:pPr>
              <w:jc w:val="right"/>
              <w:rPr>
                <w:rFonts w:ascii="Times New Roman" w:eastAsia="宋体" w:hAnsi="Times New Roman" w:cs="Times New Roman"/>
                <w:sz w:val="18"/>
                <w:szCs w:val="18"/>
              </w:rPr>
            </w:pPr>
          </w:p>
        </w:tc>
      </w:tr>
      <w:tr w:rsidR="00403CD6">
        <w:trPr>
          <w:trHeight w:val="284"/>
        </w:trPr>
        <w:tc>
          <w:tcPr>
            <w:tcW w:w="1249" w:type="pct"/>
            <w:shd w:val="clear" w:color="auto" w:fill="D3D3D3"/>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其中：欧元</w:t>
            </w:r>
          </w:p>
        </w:tc>
        <w:tc>
          <w:tcPr>
            <w:tcW w:w="1249"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4,042,908.00</w:t>
            </w:r>
          </w:p>
        </w:tc>
        <w:tc>
          <w:tcPr>
            <w:tcW w:w="1249" w:type="pct"/>
            <w:vAlign w:val="center"/>
          </w:tcPr>
          <w:p w:rsidR="00403CD6" w:rsidRDefault="00E91A59">
            <w:pPr>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7.5257</w:t>
            </w:r>
          </w:p>
        </w:tc>
        <w:tc>
          <w:tcPr>
            <w:tcW w:w="1250" w:type="pct"/>
            <w:vAlign w:val="center"/>
          </w:tcPr>
          <w:p w:rsidR="00403CD6" w:rsidRDefault="00E91A59">
            <w:pPr>
              <w:jc w:val="right"/>
              <w:rPr>
                <w:rFonts w:ascii="Times New Roman" w:eastAsia="宋体" w:hAnsi="Times New Roman" w:cs="Times New Roman"/>
                <w:sz w:val="18"/>
                <w:szCs w:val="18"/>
              </w:rPr>
            </w:pPr>
            <w:r>
              <w:rPr>
                <w:rFonts w:ascii="Times New Roman" w:eastAsia="等线" w:hAnsi="Times New Roman" w:cs="Times New Roman"/>
                <w:color w:val="000000"/>
                <w:sz w:val="18"/>
                <w:szCs w:val="18"/>
              </w:rPr>
              <w:t>30,425,712.74</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境外经营实体说明，包括对于重要的境外经营实体，应披露其境外主要经营地、记账本位币及选择依据，记账本位币发生变化的还应披露原因。</w:t>
      </w:r>
    </w:p>
    <w:p w:rsidR="00403CD6" w:rsidRDefault="00E91A59">
      <w:pPr>
        <w:spacing w:before="100" w:after="100" w:line="240" w:lineRule="exact"/>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tbl>
      <w:tblPr>
        <w:tblW w:w="50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0"/>
        <w:gridCol w:w="3344"/>
        <w:gridCol w:w="1894"/>
        <w:gridCol w:w="1846"/>
        <w:gridCol w:w="1529"/>
      </w:tblGrid>
      <w:tr w:rsidR="00403CD6">
        <w:trPr>
          <w:trHeight w:hRule="exact" w:val="284"/>
          <w:jc w:val="right"/>
        </w:trPr>
        <w:tc>
          <w:tcPr>
            <w:tcW w:w="629" w:type="pct"/>
            <w:shd w:val="clear" w:color="auto" w:fill="D9D9D9"/>
            <w:vAlign w:val="center"/>
          </w:tcPr>
          <w:p w:rsidR="00403CD6" w:rsidRDefault="00E91A59">
            <w:pPr>
              <w:spacing w:line="240" w:lineRule="exact"/>
              <w:ind w:firstLineChars="200" w:firstLine="360"/>
              <w:rPr>
                <w:rFonts w:ascii="Times New Roman" w:hAnsi="Times New Roman" w:cs="Times New Roman"/>
                <w:sz w:val="18"/>
                <w:szCs w:val="18"/>
              </w:rPr>
            </w:pPr>
            <w:bookmarkStart w:id="114" w:name="_Toc989409"/>
            <w:r>
              <w:rPr>
                <w:rFonts w:ascii="Times New Roman" w:hAnsi="Times New Roman" w:cs="Times New Roman"/>
                <w:sz w:val="18"/>
                <w:szCs w:val="18"/>
              </w:rPr>
              <w:t>序号</w:t>
            </w:r>
          </w:p>
        </w:tc>
        <w:tc>
          <w:tcPr>
            <w:tcW w:w="1696" w:type="pct"/>
            <w:shd w:val="clear" w:color="auto" w:fill="D9D9D9"/>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子公司名称</w:t>
            </w:r>
          </w:p>
        </w:tc>
        <w:tc>
          <w:tcPr>
            <w:tcW w:w="960" w:type="pct"/>
            <w:shd w:val="clear" w:color="auto" w:fill="D9D9D9"/>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主要经营地</w:t>
            </w:r>
          </w:p>
        </w:tc>
        <w:tc>
          <w:tcPr>
            <w:tcW w:w="936" w:type="pct"/>
            <w:shd w:val="clear" w:color="auto" w:fill="D9D9D9"/>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经营地</w:t>
            </w:r>
          </w:p>
        </w:tc>
        <w:tc>
          <w:tcPr>
            <w:tcW w:w="776" w:type="pct"/>
            <w:shd w:val="clear" w:color="auto" w:fill="D9D9D9"/>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记账本位币</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1</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w:t>
            </w:r>
            <w:r>
              <w:rPr>
                <w:rFonts w:ascii="Times New Roman" w:hAnsi="Times New Roman" w:cs="Times New Roman"/>
                <w:sz w:val="18"/>
                <w:szCs w:val="18"/>
              </w:rPr>
              <w:t>GmbH</w:t>
            </w:r>
          </w:p>
          <w:p w:rsidR="00403CD6" w:rsidRDefault="00403CD6">
            <w:pPr>
              <w:spacing w:line="240" w:lineRule="exact"/>
              <w:ind w:firstLineChars="200" w:firstLine="360"/>
              <w:jc w:val="both"/>
              <w:rPr>
                <w:rFonts w:ascii="Times New Roman" w:hAnsi="Times New Roman" w:cs="Times New Roman"/>
                <w:sz w:val="18"/>
                <w:szCs w:val="18"/>
              </w:rPr>
            </w:pP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德国</w:t>
            </w:r>
            <w:r>
              <w:rPr>
                <w:rFonts w:ascii="Times New Roman" w:hAnsi="Times New Roman" w:cs="Times New Roman"/>
                <w:sz w:val="18"/>
                <w:szCs w:val="18"/>
              </w:rPr>
              <w:t>.</w:t>
            </w:r>
            <w:r>
              <w:rPr>
                <w:rFonts w:ascii="Times New Roman" w:hAnsi="Times New Roman" w:cs="Times New Roman"/>
                <w:sz w:val="18"/>
                <w:szCs w:val="18"/>
              </w:rPr>
              <w:t>汉堡</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德国</w:t>
            </w:r>
            <w:r>
              <w:rPr>
                <w:rFonts w:ascii="Times New Roman" w:hAnsi="Times New Roman" w:cs="Times New Roman"/>
                <w:sz w:val="18"/>
                <w:szCs w:val="18"/>
              </w:rPr>
              <w:t>.</w:t>
            </w:r>
            <w:r>
              <w:rPr>
                <w:rFonts w:ascii="Times New Roman" w:hAnsi="Times New Roman" w:cs="Times New Roman"/>
                <w:sz w:val="18"/>
                <w:szCs w:val="18"/>
              </w:rPr>
              <w:t>汉堡</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欧元</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sz w:val="18"/>
                <w:szCs w:val="18"/>
              </w:rPr>
              <w:t>2</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晨鸣纸业韩国株式会社</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韩国</w:t>
            </w:r>
            <w:r>
              <w:rPr>
                <w:rFonts w:ascii="Times New Roman" w:hAnsi="Times New Roman" w:cs="Times New Roman"/>
                <w:sz w:val="18"/>
                <w:szCs w:val="18"/>
              </w:rPr>
              <w:t>.</w:t>
            </w:r>
            <w:proofErr w:type="gramStart"/>
            <w:r>
              <w:rPr>
                <w:rFonts w:ascii="Times New Roman" w:hAnsi="Times New Roman" w:cs="Times New Roman"/>
                <w:sz w:val="18"/>
                <w:szCs w:val="18"/>
              </w:rPr>
              <w:t>首尔</w:t>
            </w:r>
            <w:proofErr w:type="gramEnd"/>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韩国</w:t>
            </w:r>
            <w:r>
              <w:rPr>
                <w:rFonts w:ascii="Times New Roman" w:hAnsi="Times New Roman" w:cs="Times New Roman"/>
                <w:sz w:val="18"/>
                <w:szCs w:val="18"/>
              </w:rPr>
              <w:t>.</w:t>
            </w:r>
            <w:proofErr w:type="gramStart"/>
            <w:r>
              <w:rPr>
                <w:rFonts w:ascii="Times New Roman" w:hAnsi="Times New Roman" w:cs="Times New Roman"/>
                <w:sz w:val="18"/>
                <w:szCs w:val="18"/>
              </w:rPr>
              <w:t>首尔</w:t>
            </w:r>
            <w:proofErr w:type="gramEnd"/>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韩元</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hint="eastAsia"/>
                <w:sz w:val="18"/>
                <w:szCs w:val="18"/>
              </w:rPr>
              <w:t>3</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晨鸣纸业日本株式会社</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日本</w:t>
            </w:r>
            <w:r>
              <w:rPr>
                <w:rFonts w:ascii="Times New Roman" w:hAnsi="Times New Roman" w:cs="Times New Roman"/>
                <w:sz w:val="18"/>
                <w:szCs w:val="18"/>
              </w:rPr>
              <w:t>.</w:t>
            </w:r>
            <w:r>
              <w:rPr>
                <w:rFonts w:ascii="Times New Roman" w:hAnsi="Times New Roman" w:cs="Times New Roman"/>
                <w:sz w:val="18"/>
                <w:szCs w:val="18"/>
              </w:rPr>
              <w:t>东京</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日本</w:t>
            </w:r>
            <w:r>
              <w:rPr>
                <w:rFonts w:ascii="Times New Roman" w:hAnsi="Times New Roman" w:cs="Times New Roman"/>
                <w:sz w:val="18"/>
                <w:szCs w:val="18"/>
              </w:rPr>
              <w:t>.</w:t>
            </w:r>
            <w:r>
              <w:rPr>
                <w:rFonts w:ascii="Times New Roman" w:hAnsi="Times New Roman" w:cs="Times New Roman"/>
                <w:sz w:val="18"/>
                <w:szCs w:val="18"/>
              </w:rPr>
              <w:t>东京</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日元</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hint="eastAsia"/>
                <w:sz w:val="18"/>
                <w:szCs w:val="18"/>
              </w:rPr>
              <w:t>4</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晨鸣纸业美国有限公司</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美国</w:t>
            </w:r>
            <w:r>
              <w:rPr>
                <w:rFonts w:ascii="Times New Roman" w:hAnsi="Times New Roman" w:cs="Times New Roman"/>
                <w:sz w:val="18"/>
                <w:szCs w:val="18"/>
              </w:rPr>
              <w:t>.</w:t>
            </w:r>
            <w:r>
              <w:rPr>
                <w:rFonts w:ascii="Times New Roman" w:hAnsi="Times New Roman" w:cs="Times New Roman"/>
                <w:sz w:val="18"/>
                <w:szCs w:val="18"/>
              </w:rPr>
              <w:t>洛杉矶</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美国</w:t>
            </w:r>
            <w:r>
              <w:rPr>
                <w:rFonts w:ascii="Times New Roman" w:hAnsi="Times New Roman" w:cs="Times New Roman"/>
                <w:sz w:val="18"/>
                <w:szCs w:val="18"/>
              </w:rPr>
              <w:t>.</w:t>
            </w:r>
            <w:r>
              <w:rPr>
                <w:rFonts w:ascii="Times New Roman" w:hAnsi="Times New Roman" w:cs="Times New Roman"/>
                <w:sz w:val="18"/>
                <w:szCs w:val="18"/>
              </w:rPr>
              <w:t>洛杉矶</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美元</w:t>
            </w:r>
          </w:p>
          <w:p w:rsidR="00403CD6" w:rsidRDefault="00403CD6">
            <w:pPr>
              <w:spacing w:line="240" w:lineRule="exact"/>
              <w:ind w:firstLineChars="200" w:firstLine="360"/>
              <w:jc w:val="both"/>
              <w:rPr>
                <w:rFonts w:ascii="Times New Roman" w:hAnsi="Times New Roman" w:cs="Times New Roman"/>
                <w:sz w:val="18"/>
                <w:szCs w:val="18"/>
              </w:rPr>
            </w:pP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hint="eastAsia"/>
                <w:sz w:val="18"/>
                <w:szCs w:val="18"/>
              </w:rPr>
              <w:t>5</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晨鸣（海外）有限公司</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中国</w:t>
            </w:r>
            <w:r>
              <w:rPr>
                <w:rFonts w:ascii="Times New Roman" w:hAnsi="Times New Roman" w:cs="Times New Roman"/>
                <w:sz w:val="18"/>
                <w:szCs w:val="18"/>
              </w:rPr>
              <w:t>.</w:t>
            </w:r>
            <w:r>
              <w:rPr>
                <w:rFonts w:ascii="Times New Roman" w:hAnsi="Times New Roman" w:cs="Times New Roman"/>
                <w:sz w:val="18"/>
                <w:szCs w:val="18"/>
              </w:rPr>
              <w:t>香港</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中国</w:t>
            </w:r>
            <w:r>
              <w:rPr>
                <w:rFonts w:ascii="Times New Roman" w:hAnsi="Times New Roman" w:cs="Times New Roman"/>
                <w:sz w:val="18"/>
                <w:szCs w:val="18"/>
              </w:rPr>
              <w:t>.</w:t>
            </w:r>
            <w:r>
              <w:rPr>
                <w:rFonts w:ascii="Times New Roman" w:hAnsi="Times New Roman" w:cs="Times New Roman"/>
                <w:sz w:val="18"/>
                <w:szCs w:val="18"/>
              </w:rPr>
              <w:t>香港</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美元</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hint="eastAsia"/>
                <w:sz w:val="18"/>
                <w:szCs w:val="18"/>
              </w:rPr>
              <w:t>6</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晨鸣（新加坡）有限公司</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新加坡</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新加坡</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美元</w:t>
            </w:r>
          </w:p>
        </w:tc>
      </w:tr>
      <w:tr w:rsidR="00403CD6">
        <w:trPr>
          <w:trHeight w:hRule="exact" w:val="284"/>
          <w:jc w:val="right"/>
        </w:trPr>
        <w:tc>
          <w:tcPr>
            <w:tcW w:w="629" w:type="pct"/>
            <w:shd w:val="clear" w:color="auto" w:fill="auto"/>
            <w:vAlign w:val="center"/>
          </w:tcPr>
          <w:p w:rsidR="00403CD6" w:rsidRDefault="00E91A59">
            <w:pPr>
              <w:spacing w:line="240" w:lineRule="exact"/>
              <w:jc w:val="center"/>
              <w:rPr>
                <w:rFonts w:ascii="Times New Roman" w:hAnsi="Times New Roman" w:cs="Times New Roman"/>
                <w:sz w:val="18"/>
                <w:szCs w:val="18"/>
              </w:rPr>
            </w:pPr>
            <w:r>
              <w:rPr>
                <w:rFonts w:ascii="Times New Roman" w:hAnsi="Times New Roman" w:cs="Times New Roman" w:hint="eastAsia"/>
                <w:sz w:val="18"/>
                <w:szCs w:val="18"/>
              </w:rPr>
              <w:t>7</w:t>
            </w:r>
          </w:p>
        </w:tc>
        <w:tc>
          <w:tcPr>
            <w:tcW w:w="169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晨鸣（香港）有限公司</w:t>
            </w:r>
          </w:p>
        </w:tc>
        <w:tc>
          <w:tcPr>
            <w:tcW w:w="960"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中国</w:t>
            </w:r>
            <w:r>
              <w:rPr>
                <w:rFonts w:ascii="Times New Roman" w:hAnsi="Times New Roman" w:cs="Times New Roman"/>
                <w:sz w:val="18"/>
                <w:szCs w:val="18"/>
              </w:rPr>
              <w:t>.</w:t>
            </w:r>
            <w:r>
              <w:rPr>
                <w:rFonts w:ascii="Times New Roman" w:hAnsi="Times New Roman" w:cs="Times New Roman"/>
                <w:sz w:val="18"/>
                <w:szCs w:val="18"/>
              </w:rPr>
              <w:t>香港</w:t>
            </w:r>
          </w:p>
        </w:tc>
        <w:tc>
          <w:tcPr>
            <w:tcW w:w="936" w:type="pct"/>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中国香港</w:t>
            </w:r>
          </w:p>
        </w:tc>
        <w:tc>
          <w:tcPr>
            <w:tcW w:w="776" w:type="pct"/>
            <w:shd w:val="clear" w:color="auto" w:fill="auto"/>
            <w:vAlign w:val="center"/>
          </w:tcPr>
          <w:p w:rsidR="00403CD6" w:rsidRDefault="00E91A59">
            <w:pPr>
              <w:spacing w:line="240" w:lineRule="exact"/>
              <w:jc w:val="both"/>
              <w:rPr>
                <w:rFonts w:ascii="Times New Roman" w:hAnsi="Times New Roman" w:cs="Times New Roman"/>
                <w:sz w:val="18"/>
                <w:szCs w:val="18"/>
              </w:rPr>
            </w:pPr>
            <w:r>
              <w:rPr>
                <w:rFonts w:ascii="Times New Roman" w:hAnsi="Times New Roman" w:cs="Times New Roman"/>
                <w:sz w:val="18"/>
                <w:szCs w:val="18"/>
              </w:rPr>
              <w:t>美元</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67、租赁</w:t>
      </w:r>
      <w:bookmarkEnd w:id="114"/>
    </w:p>
    <w:p w:rsidR="00403CD6" w:rsidRDefault="00E91A59">
      <w:pPr>
        <w:keepNext/>
        <w:keepLines/>
        <w:spacing w:before="300" w:after="300" w:line="280" w:lineRule="exact"/>
        <w:outlineLvl w:val="3"/>
        <w:rPr>
          <w:rFonts w:ascii="宋体" w:eastAsia="宋体" w:hAnsi="宋体" w:cs="宋体"/>
          <w:b/>
          <w:bCs/>
          <w:szCs w:val="21"/>
        </w:rPr>
      </w:pPr>
      <w:bookmarkStart w:id="115" w:name="_Toc989410"/>
      <w:r>
        <w:rPr>
          <w:rFonts w:ascii="宋体" w:eastAsia="宋体" w:hAnsi="宋体" w:cs="宋体" w:hint="eastAsia"/>
          <w:b/>
          <w:bCs/>
          <w:szCs w:val="21"/>
        </w:rPr>
        <w:t>（1） 本公司作为承租方</w:t>
      </w:r>
      <w:bookmarkEnd w:id="115"/>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0"/>
        <w:gridCol w:w="3853"/>
      </w:tblGrid>
      <w:tr w:rsidR="00403CD6">
        <w:trPr>
          <w:cantSplit/>
          <w:trHeight w:val="340"/>
          <w:tblHeader/>
          <w:jc w:val="center"/>
        </w:trPr>
        <w:tc>
          <w:tcPr>
            <w:tcW w:w="3044" w:type="pct"/>
            <w:shd w:val="clear" w:color="auto" w:fill="D9D9D9" w:themeFill="background1" w:themeFillShade="D9"/>
            <w:vAlign w:val="center"/>
          </w:tcPr>
          <w:p w:rsidR="00403CD6" w:rsidRDefault="00E91A59">
            <w:pPr>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项</w:t>
            </w:r>
            <w:r>
              <w:rPr>
                <w:rFonts w:ascii="Times New Roman" w:eastAsia="宋体" w:hAnsi="Times New Roman" w:cs="Times New Roman"/>
                <w:bCs/>
                <w:sz w:val="18"/>
                <w:szCs w:val="18"/>
              </w:rPr>
              <w:t xml:space="preserve">  </w:t>
            </w:r>
            <w:r>
              <w:rPr>
                <w:rFonts w:ascii="Times New Roman" w:eastAsia="宋体" w:hAnsi="Times New Roman" w:cs="Times New Roman"/>
                <w:bCs/>
                <w:sz w:val="18"/>
                <w:szCs w:val="18"/>
              </w:rPr>
              <w:t>目</w:t>
            </w:r>
          </w:p>
        </w:tc>
        <w:tc>
          <w:tcPr>
            <w:tcW w:w="1955" w:type="pct"/>
            <w:shd w:val="clear" w:color="auto" w:fill="D9D9D9" w:themeFill="background1" w:themeFillShade="D9"/>
            <w:vAlign w:val="center"/>
          </w:tcPr>
          <w:p w:rsidR="00403CD6" w:rsidRDefault="00E91A59">
            <w:pPr>
              <w:snapToGrid w:val="0"/>
              <w:jc w:val="center"/>
              <w:rPr>
                <w:rFonts w:ascii="Times New Roman" w:eastAsia="宋体" w:hAnsi="Times New Roman" w:cs="Times New Roman"/>
                <w:bCs/>
                <w:color w:val="000000" w:themeColor="text1"/>
                <w:sz w:val="18"/>
                <w:szCs w:val="18"/>
              </w:rPr>
            </w:pPr>
            <w:r>
              <w:rPr>
                <w:rFonts w:ascii="Times New Roman" w:eastAsia="宋体" w:hAnsi="Times New Roman" w:cs="Times New Roman"/>
                <w:bCs/>
                <w:color w:val="000000" w:themeColor="text1"/>
                <w:sz w:val="18"/>
                <w:szCs w:val="18"/>
              </w:rPr>
              <w:t>本期发生额</w:t>
            </w:r>
          </w:p>
        </w:tc>
      </w:tr>
      <w:tr w:rsidR="00403CD6">
        <w:trPr>
          <w:cantSplit/>
          <w:trHeight w:val="340"/>
          <w:jc w:val="center"/>
        </w:trPr>
        <w:tc>
          <w:tcPr>
            <w:tcW w:w="304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短期租赁费用</w:t>
            </w:r>
          </w:p>
        </w:tc>
        <w:tc>
          <w:tcPr>
            <w:tcW w:w="19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7,529,440.55</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本公司作为出租方</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作为出租人的经营租赁</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keepNext/>
        <w:widowControl/>
        <w:snapToGrid w:val="0"/>
        <w:spacing w:afterLines="90" w:after="280"/>
        <w:rPr>
          <w:rFonts w:ascii="宋体" w:eastAsia="宋体" w:hAnsi="宋体"/>
          <w:bCs/>
          <w:sz w:val="18"/>
          <w:szCs w:val="18"/>
        </w:rPr>
      </w:pPr>
      <w:r>
        <w:rPr>
          <w:rFonts w:ascii="宋体" w:eastAsia="宋体" w:hAnsi="宋体"/>
          <w:bCs/>
          <w:sz w:val="18"/>
          <w:szCs w:val="18"/>
        </w:rPr>
        <w:t>租赁收入</w:t>
      </w:r>
    </w:p>
    <w:p w:rsidR="00403CD6" w:rsidRDefault="00E91A59">
      <w:pPr>
        <w:spacing w:before="40" w:after="40" w:line="240" w:lineRule="exact"/>
        <w:jc w:val="right"/>
        <w:rPr>
          <w:rFonts w:ascii="Times New Roman" w:eastAsia="宋体"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0"/>
        <w:gridCol w:w="3853"/>
      </w:tblGrid>
      <w:tr w:rsidR="00403CD6">
        <w:trPr>
          <w:cantSplit/>
          <w:trHeight w:val="340"/>
          <w:jc w:val="center"/>
        </w:trPr>
        <w:tc>
          <w:tcPr>
            <w:tcW w:w="3045" w:type="pct"/>
            <w:shd w:val="clear" w:color="auto" w:fill="D9D9D9" w:themeFill="background1" w:themeFillShade="D9"/>
            <w:vAlign w:val="center"/>
          </w:tcPr>
          <w:p w:rsidR="00403CD6" w:rsidRDefault="00E91A59">
            <w:pPr>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项</w:t>
            </w:r>
            <w:r>
              <w:rPr>
                <w:rFonts w:ascii="Times New Roman" w:eastAsia="宋体" w:hAnsi="Times New Roman" w:cs="Times New Roman"/>
                <w:bCs/>
                <w:sz w:val="18"/>
                <w:szCs w:val="18"/>
              </w:rPr>
              <w:t xml:space="preserve">  </w:t>
            </w:r>
            <w:r>
              <w:rPr>
                <w:rFonts w:ascii="Times New Roman" w:eastAsia="宋体" w:hAnsi="Times New Roman" w:cs="Times New Roman"/>
                <w:bCs/>
                <w:sz w:val="18"/>
                <w:szCs w:val="18"/>
              </w:rPr>
              <w:t>目</w:t>
            </w:r>
          </w:p>
        </w:tc>
        <w:tc>
          <w:tcPr>
            <w:tcW w:w="1955" w:type="pct"/>
            <w:shd w:val="clear" w:color="auto" w:fill="D9D9D9" w:themeFill="background1" w:themeFillShade="D9"/>
            <w:vAlign w:val="center"/>
          </w:tcPr>
          <w:p w:rsidR="00403CD6" w:rsidRDefault="00E91A59">
            <w:pPr>
              <w:snapToGrid w:val="0"/>
              <w:jc w:val="center"/>
              <w:rPr>
                <w:rFonts w:ascii="Times New Roman" w:eastAsia="宋体" w:hAnsi="Times New Roman" w:cs="Times New Roman"/>
                <w:bCs/>
                <w:sz w:val="18"/>
                <w:szCs w:val="18"/>
              </w:rPr>
            </w:pPr>
            <w:r>
              <w:rPr>
                <w:rFonts w:ascii="Times New Roman" w:eastAsia="宋体" w:hAnsi="Times New Roman" w:cs="Times New Roman"/>
                <w:bCs/>
                <w:sz w:val="18"/>
                <w:szCs w:val="18"/>
              </w:rPr>
              <w:t>本期发生额</w:t>
            </w:r>
          </w:p>
        </w:tc>
      </w:tr>
      <w:tr w:rsidR="00403CD6">
        <w:trPr>
          <w:cantSplit/>
          <w:trHeight w:val="340"/>
          <w:jc w:val="center"/>
        </w:trPr>
        <w:tc>
          <w:tcPr>
            <w:tcW w:w="3045" w:type="pct"/>
            <w:shd w:val="clear" w:color="auto" w:fill="auto"/>
            <w:vAlign w:val="center"/>
          </w:tcPr>
          <w:p w:rsidR="00403CD6" w:rsidRDefault="00E91A59">
            <w:pPr>
              <w:rPr>
                <w:rFonts w:ascii="Times New Roman" w:eastAsia="宋体" w:hAnsi="Times New Roman" w:cs="Times New Roman"/>
                <w:bCs/>
                <w:sz w:val="18"/>
                <w:szCs w:val="18"/>
              </w:rPr>
            </w:pPr>
            <w:r>
              <w:rPr>
                <w:rFonts w:ascii="Times New Roman" w:eastAsia="宋体" w:hAnsi="Times New Roman" w:cs="Times New Roman"/>
                <w:bCs/>
                <w:sz w:val="18"/>
                <w:szCs w:val="18"/>
              </w:rPr>
              <w:t>租赁收入</w:t>
            </w:r>
          </w:p>
        </w:tc>
        <w:tc>
          <w:tcPr>
            <w:tcW w:w="1955" w:type="pct"/>
            <w:shd w:val="clear" w:color="auto" w:fill="auto"/>
            <w:vAlign w:val="center"/>
          </w:tcPr>
          <w:p w:rsidR="00403CD6" w:rsidRDefault="00E91A59">
            <w:pPr>
              <w:jc w:val="right"/>
              <w:rPr>
                <w:rFonts w:ascii="Times New Roman" w:eastAsia="宋体" w:hAnsi="Times New Roman" w:cs="Times New Roman"/>
                <w:bCs/>
                <w:sz w:val="18"/>
                <w:szCs w:val="18"/>
              </w:rPr>
            </w:pPr>
            <w:r>
              <w:rPr>
                <w:rFonts w:ascii="Times New Roman" w:eastAsia="仿宋_GB2312" w:hAnsi="Times New Roman" w:cs="Times New Roman"/>
                <w:sz w:val="18"/>
                <w:szCs w:val="18"/>
              </w:rPr>
              <w:t>173,983,222.36</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作为出租人的融资租赁</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before="40" w:after="40" w:line="240" w:lineRule="exact"/>
        <w:jc w:val="both"/>
        <w:rPr>
          <w:rFonts w:ascii="宋体" w:eastAsia="宋体" w:hAnsi="宋体" w:cs="宋体"/>
          <w:sz w:val="18"/>
          <w:szCs w:val="18"/>
        </w:rPr>
      </w:pPr>
      <w:r>
        <w:rPr>
          <w:rFonts w:ascii="宋体" w:eastAsia="宋体" w:hAnsi="宋体" w:cs="宋体" w:hint="eastAsia"/>
          <w:sz w:val="18"/>
          <w:szCs w:val="18"/>
        </w:rPr>
        <w:t>未来五年每年未折现</w:t>
      </w:r>
      <w:proofErr w:type="gramStart"/>
      <w:r>
        <w:rPr>
          <w:rFonts w:ascii="宋体" w:eastAsia="宋体" w:hAnsi="宋体" w:cs="宋体" w:hint="eastAsia"/>
          <w:sz w:val="18"/>
          <w:szCs w:val="18"/>
        </w:rPr>
        <w:t>租赁收</w:t>
      </w:r>
      <w:proofErr w:type="gramEnd"/>
      <w:r>
        <w:rPr>
          <w:rFonts w:ascii="宋体" w:eastAsia="宋体" w:hAnsi="宋体" w:cs="宋体" w:hint="eastAsia"/>
          <w:sz w:val="18"/>
          <w:szCs w:val="18"/>
        </w:rPr>
        <w:t>款额</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3332"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每年未折现</w:t>
            </w:r>
            <w:proofErr w:type="gramStart"/>
            <w:r>
              <w:rPr>
                <w:rFonts w:ascii="Times New Roman" w:eastAsia="宋体" w:hAnsi="Times New Roman" w:cs="Times New Roman"/>
                <w:sz w:val="18"/>
                <w:szCs w:val="18"/>
              </w:rPr>
              <w:t>租赁收</w:t>
            </w:r>
            <w:proofErr w:type="gramEnd"/>
            <w:r>
              <w:rPr>
                <w:rFonts w:ascii="Times New Roman" w:eastAsia="宋体" w:hAnsi="Times New Roman" w:cs="Times New Roman"/>
                <w:sz w:val="18"/>
                <w:szCs w:val="18"/>
              </w:rPr>
              <w:t>款额</w:t>
            </w:r>
          </w:p>
        </w:tc>
      </w:tr>
      <w:tr w:rsidR="00403CD6">
        <w:trPr>
          <w:trHeight w:val="284"/>
        </w:trPr>
        <w:tc>
          <w:tcPr>
            <w:tcW w:w="1667" w:type="pct"/>
            <w:vMerge/>
            <w:vAlign w:val="center"/>
          </w:tcPr>
          <w:p w:rsidR="00403CD6" w:rsidRDefault="00403CD6">
            <w:pPr>
              <w:widowControl/>
              <w:rPr>
                <w:rFonts w:ascii="Times New Roman" w:eastAsia="宋体" w:hAnsi="Times New Roman" w:cs="Times New Roman"/>
                <w:sz w:val="18"/>
                <w:szCs w:val="18"/>
              </w:rPr>
            </w:pP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期末金额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w:t>
            </w:r>
            <w:proofErr w:type="gramStart"/>
            <w:r>
              <w:rPr>
                <w:rFonts w:ascii="Times New Roman" w:eastAsia="宋体" w:hAnsi="Times New Roman" w:cs="Times New Roman"/>
                <w:sz w:val="18"/>
                <w:szCs w:val="18"/>
              </w:rPr>
              <w:t>初金额</w:t>
            </w:r>
            <w:proofErr w:type="gramEnd"/>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第一年</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152,207,821.18</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179,905,002.</w:t>
            </w:r>
            <w:r>
              <w:rPr>
                <w:rFonts w:ascii="Times New Roman" w:eastAsia="仿宋_GB2312" w:hAnsi="Times New Roman" w:cs="Times New Roman" w:hint="eastAsia"/>
                <w:sz w:val="18"/>
                <w:szCs w:val="18"/>
              </w:rPr>
              <w:t>33</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第二年</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159,924,290.10</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168,651,189.37</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lastRenderedPageBreak/>
              <w:t>第三年</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157,974,084.34</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167,585,064.63</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第四年</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160,776,701.99</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162,996,827.55</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第五年</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158,478,080.32</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159,887,562.91</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五年后</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等线" w:hAnsi="Times New Roman" w:cs="Times New Roman"/>
                <w:sz w:val="18"/>
                <w:szCs w:val="18"/>
              </w:rPr>
              <w:t>155,500,794.16</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165,396,559.34</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合计</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944,861,772.09</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1,004,422,206.</w:t>
            </w:r>
            <w:r>
              <w:rPr>
                <w:rFonts w:ascii="Times New Roman" w:eastAsia="仿宋_GB2312" w:hAnsi="Times New Roman" w:cs="Times New Roman" w:hint="eastAsia"/>
                <w:sz w:val="18"/>
                <w:szCs w:val="18"/>
              </w:rPr>
              <w:t>13</w:t>
            </w:r>
          </w:p>
        </w:tc>
      </w:tr>
    </w:tbl>
    <w:p w:rsidR="00403CD6" w:rsidRDefault="00E91A59">
      <w:pPr>
        <w:pStyle w:val="2"/>
        <w:spacing w:before="300" w:after="300" w:line="320" w:lineRule="exact"/>
        <w:rPr>
          <w:rFonts w:ascii="Times New Roman" w:eastAsia="宋体" w:hAnsi="Times New Roman" w:cs="Times New Roman"/>
          <w:b/>
          <w:bCs/>
          <w:sz w:val="24"/>
          <w:szCs w:val="24"/>
        </w:rPr>
      </w:pPr>
      <w:bookmarkStart w:id="116" w:name="_Toc989408"/>
      <w:bookmarkStart w:id="117" w:name="_Toc989320"/>
      <w:bookmarkEnd w:id="60"/>
      <w:r>
        <w:rPr>
          <w:rFonts w:ascii="Times New Roman" w:eastAsia="宋体" w:hAnsi="Times New Roman" w:cs="Times New Roman"/>
          <w:b/>
          <w:bCs/>
          <w:sz w:val="24"/>
          <w:szCs w:val="24"/>
        </w:rPr>
        <w:t>八、研发支出</w:t>
      </w:r>
      <w:bookmarkEnd w:id="116"/>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7"/>
        <w:gridCol w:w="3287"/>
        <w:gridCol w:w="3279"/>
      </w:tblGrid>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bookmarkStart w:id="118" w:name="_Toc989411"/>
            <w:r>
              <w:rPr>
                <w:rFonts w:ascii="Times New Roman" w:eastAsia="宋体" w:hAnsi="Times New Roman" w:cs="Times New Roman"/>
                <w:sz w:val="18"/>
                <w:szCs w:val="18"/>
              </w:rPr>
              <w:t>项目</w:t>
            </w:r>
          </w:p>
        </w:tc>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color w:val="FF0000"/>
                <w:sz w:val="18"/>
                <w:szCs w:val="18"/>
              </w:rPr>
            </w:pPr>
            <w:r>
              <w:rPr>
                <w:rFonts w:asciiTheme="minorEastAsia" w:hAnsiTheme="minorEastAsia" w:cstheme="minorEastAsia" w:hint="eastAsia"/>
                <w:sz w:val="18"/>
                <w:szCs w:val="18"/>
              </w:rPr>
              <w:t>材料耗用</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725,049,519.67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781,407,604.78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color w:val="FF0000"/>
                <w:sz w:val="18"/>
                <w:szCs w:val="18"/>
              </w:rPr>
            </w:pPr>
            <w:proofErr w:type="gramStart"/>
            <w:r>
              <w:rPr>
                <w:rFonts w:asciiTheme="minorEastAsia" w:hAnsiTheme="minorEastAsia" w:cstheme="minorEastAsia" w:hint="eastAsia"/>
                <w:sz w:val="18"/>
                <w:szCs w:val="18"/>
              </w:rPr>
              <w:t>水汽电</w:t>
            </w:r>
            <w:proofErr w:type="gramEnd"/>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130,904,560.17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155,276,067.70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color w:val="FF0000"/>
                <w:sz w:val="18"/>
                <w:szCs w:val="18"/>
              </w:rPr>
            </w:pPr>
            <w:r>
              <w:rPr>
                <w:rFonts w:asciiTheme="minorEastAsia" w:hAnsiTheme="minorEastAsia" w:cstheme="minorEastAsia" w:hint="eastAsia"/>
                <w:sz w:val="18"/>
                <w:szCs w:val="18"/>
              </w:rPr>
              <w:t>工资及附加费</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123,022,797.35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129,508,833.28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折旧费</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64,184,587.23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56,914,306.41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保险费</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25,909,846.14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26,981,737.42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color w:val="FF0000"/>
                <w:sz w:val="18"/>
                <w:szCs w:val="18"/>
              </w:rPr>
            </w:pPr>
            <w:r>
              <w:rPr>
                <w:rFonts w:asciiTheme="minorEastAsia" w:hAnsiTheme="minorEastAsia" w:cstheme="minorEastAsia" w:hint="eastAsia"/>
                <w:sz w:val="18"/>
                <w:szCs w:val="18"/>
              </w:rPr>
              <w:t>福利费</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4,556,030.19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3,362,929.39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住房公积金</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4,151,966.75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4,435,343.17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color w:val="FF0000"/>
                <w:sz w:val="18"/>
                <w:szCs w:val="18"/>
              </w:rPr>
            </w:pPr>
            <w:r>
              <w:rPr>
                <w:rFonts w:asciiTheme="minorEastAsia" w:hAnsiTheme="minorEastAsia" w:cstheme="minorEastAsia" w:hint="eastAsia"/>
                <w:sz w:val="18"/>
                <w:szCs w:val="18"/>
              </w:rPr>
              <w:t>工会经费</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1,271,458.04 </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1,323,605.61 </w:t>
            </w:r>
          </w:p>
        </w:tc>
      </w:tr>
      <w:tr w:rsidR="00403CD6">
        <w:trPr>
          <w:trHeight w:val="284"/>
        </w:trPr>
        <w:tc>
          <w:tcPr>
            <w:tcW w:w="1668"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其他费用</w:t>
            </w:r>
          </w:p>
        </w:tc>
        <w:tc>
          <w:tcPr>
            <w:tcW w:w="1668"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1,280,988.88</w:t>
            </w:r>
          </w:p>
        </w:tc>
        <w:tc>
          <w:tcPr>
            <w:tcW w:w="1664"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5,209,270.37</w:t>
            </w:r>
          </w:p>
        </w:tc>
      </w:tr>
      <w:tr w:rsidR="00403CD6">
        <w:trPr>
          <w:trHeight w:val="284"/>
        </w:trPr>
        <w:tc>
          <w:tcPr>
            <w:tcW w:w="16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1,080,331,754.42</w:t>
            </w:r>
          </w:p>
        </w:tc>
        <w:tc>
          <w:tcPr>
            <w:tcW w:w="166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1,164,419,698.13</w:t>
            </w:r>
          </w:p>
        </w:tc>
      </w:tr>
      <w:tr w:rsidR="00403CD6">
        <w:trPr>
          <w:trHeight w:val="284"/>
        </w:trPr>
        <w:tc>
          <w:tcPr>
            <w:tcW w:w="166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其中：费用化研发支出</w:t>
            </w:r>
          </w:p>
        </w:tc>
        <w:tc>
          <w:tcPr>
            <w:tcW w:w="1668" w:type="pct"/>
            <w:shd w:val="clear" w:color="auto" w:fill="auto"/>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1,080,331,754.42</w:t>
            </w:r>
          </w:p>
        </w:tc>
        <w:tc>
          <w:tcPr>
            <w:tcW w:w="1664" w:type="pct"/>
            <w:shd w:val="clear" w:color="auto" w:fill="auto"/>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1,164,419,698.13</w:t>
            </w:r>
          </w:p>
        </w:tc>
      </w:tr>
    </w:tbl>
    <w:p w:rsidR="00403CD6" w:rsidRDefault="00E91A59">
      <w:pPr>
        <w:pStyle w:val="2"/>
        <w:spacing w:before="300" w:after="300" w:line="320" w:lineRule="exact"/>
        <w:rPr>
          <w:rFonts w:ascii="宋体" w:eastAsia="宋体" w:hAnsi="宋体" w:cs="宋体"/>
          <w:b/>
          <w:bCs/>
          <w:sz w:val="24"/>
          <w:szCs w:val="24"/>
        </w:rPr>
      </w:pPr>
      <w:bookmarkStart w:id="119" w:name="_Toc989418"/>
      <w:r>
        <w:rPr>
          <w:rFonts w:ascii="宋体" w:eastAsia="宋体" w:hAnsi="宋体" w:cs="宋体" w:hint="eastAsia"/>
          <w:b/>
          <w:bCs/>
          <w:sz w:val="24"/>
          <w:szCs w:val="24"/>
        </w:rPr>
        <w:t>九、合并范围的变更</w:t>
      </w:r>
      <w:bookmarkEnd w:id="119"/>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1、处置子公司</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本期是否存在丧失子公司控制权的交易或事项</w:t>
      </w:r>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是 □否</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72"/>
        <w:gridCol w:w="1181"/>
        <w:gridCol w:w="674"/>
        <w:gridCol w:w="674"/>
        <w:gridCol w:w="674"/>
        <w:gridCol w:w="675"/>
        <w:gridCol w:w="1091"/>
        <w:gridCol w:w="675"/>
        <w:gridCol w:w="677"/>
        <w:gridCol w:w="677"/>
        <w:gridCol w:w="677"/>
        <w:gridCol w:w="677"/>
        <w:gridCol w:w="669"/>
      </w:tblGrid>
      <w:tr w:rsidR="00403CD6">
        <w:trPr>
          <w:trHeight w:val="284"/>
        </w:trPr>
        <w:tc>
          <w:tcPr>
            <w:tcW w:w="34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子公司名称</w:t>
            </w:r>
          </w:p>
        </w:tc>
        <w:tc>
          <w:tcPr>
            <w:tcW w:w="60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丧失控制权时点的处置价款</w:t>
            </w:r>
          </w:p>
        </w:tc>
        <w:tc>
          <w:tcPr>
            <w:tcW w:w="3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丧失控制权时点的处置比例（</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3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丧失控制权时点的处置方式</w:t>
            </w:r>
          </w:p>
        </w:tc>
        <w:tc>
          <w:tcPr>
            <w:tcW w:w="3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丧失控制权的时点</w:t>
            </w:r>
          </w:p>
        </w:tc>
        <w:tc>
          <w:tcPr>
            <w:tcW w:w="3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丧失控制权时点的判断依据</w:t>
            </w:r>
          </w:p>
        </w:tc>
        <w:tc>
          <w:tcPr>
            <w:tcW w:w="5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处置价款与处置投资对应的合并财务报表层面享有该子公司净资产份额的差额</w:t>
            </w:r>
          </w:p>
        </w:tc>
        <w:tc>
          <w:tcPr>
            <w:tcW w:w="3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丧失控制权之日剩余股权的比例</w:t>
            </w:r>
          </w:p>
        </w:tc>
        <w:tc>
          <w:tcPr>
            <w:tcW w:w="3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丧失控制权之日合并财务报表层面剩余股权的账面价值</w:t>
            </w:r>
          </w:p>
        </w:tc>
        <w:tc>
          <w:tcPr>
            <w:tcW w:w="3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丧失控制权之日合并财务报表层面剩余股权的公允价值</w:t>
            </w:r>
          </w:p>
        </w:tc>
        <w:tc>
          <w:tcPr>
            <w:tcW w:w="3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按照公允价值重新计量剩余股权产生的利得或损失</w:t>
            </w:r>
          </w:p>
        </w:tc>
        <w:tc>
          <w:tcPr>
            <w:tcW w:w="3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丧失控制权之日合并财务报表层面剩余股权公允价值的确定方法及主要假设</w:t>
            </w:r>
          </w:p>
        </w:tc>
        <w:tc>
          <w:tcPr>
            <w:tcW w:w="3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与原子公司股权投资相关的其他综合收益转入投资损益或留存收益的金额</w:t>
            </w:r>
          </w:p>
        </w:tc>
      </w:tr>
      <w:tr w:rsidR="00403CD6">
        <w:trPr>
          <w:trHeight w:val="284"/>
        </w:trPr>
        <w:tc>
          <w:tcPr>
            <w:tcW w:w="347" w:type="pct"/>
            <w:vAlign w:val="center"/>
          </w:tcPr>
          <w:p w:rsidR="00403CD6" w:rsidRDefault="00E91A59">
            <w:pPr>
              <w:spacing w:line="240" w:lineRule="exact"/>
              <w:rPr>
                <w:rFonts w:ascii="Times New Roman" w:hAnsi="Times New Roman" w:cs="Times New Roman"/>
                <w:sz w:val="18"/>
                <w:szCs w:val="18"/>
              </w:rPr>
            </w:pPr>
            <w:proofErr w:type="gramStart"/>
            <w:r>
              <w:rPr>
                <w:rFonts w:ascii="Times New Roman" w:hAnsi="Times New Roman" w:cs="Times New Roman"/>
                <w:sz w:val="18"/>
                <w:szCs w:val="18"/>
              </w:rPr>
              <w:t>昆山拓安塑料</w:t>
            </w:r>
            <w:proofErr w:type="gramEnd"/>
            <w:r>
              <w:rPr>
                <w:rFonts w:ascii="Times New Roman" w:hAnsi="Times New Roman" w:cs="Times New Roman"/>
                <w:sz w:val="18"/>
                <w:szCs w:val="18"/>
              </w:rPr>
              <w:t>制品有限公司</w:t>
            </w:r>
          </w:p>
        </w:tc>
        <w:tc>
          <w:tcPr>
            <w:tcW w:w="609"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143,730,000.00</w:t>
            </w:r>
          </w:p>
        </w:tc>
        <w:tc>
          <w:tcPr>
            <w:tcW w:w="348"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100.00</w:t>
            </w:r>
          </w:p>
        </w:tc>
        <w:tc>
          <w:tcPr>
            <w:tcW w:w="348"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转让</w:t>
            </w:r>
          </w:p>
        </w:tc>
        <w:tc>
          <w:tcPr>
            <w:tcW w:w="348"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2024-2-29</w:t>
            </w:r>
          </w:p>
        </w:tc>
        <w:tc>
          <w:tcPr>
            <w:tcW w:w="348" w:type="pct"/>
            <w:vAlign w:val="center"/>
          </w:tcPr>
          <w:p w:rsidR="00403CD6" w:rsidRDefault="00E91A59">
            <w:pPr>
              <w:spacing w:line="240" w:lineRule="exact"/>
              <w:rPr>
                <w:rFonts w:ascii="Times New Roman" w:hAnsi="Times New Roman" w:cs="Times New Roman"/>
                <w:sz w:val="18"/>
                <w:szCs w:val="18"/>
              </w:rPr>
            </w:pPr>
            <w:r>
              <w:rPr>
                <w:rFonts w:ascii="Times New Roman" w:hAnsi="Times New Roman" w:cs="Times New Roman"/>
                <w:sz w:val="18"/>
                <w:szCs w:val="18"/>
              </w:rPr>
              <w:t>丧失控制权</w:t>
            </w:r>
          </w:p>
        </w:tc>
        <w:tc>
          <w:tcPr>
            <w:tcW w:w="563"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12,619,604.72</w:t>
            </w:r>
          </w:p>
        </w:tc>
        <w:tc>
          <w:tcPr>
            <w:tcW w:w="3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0.00</w:t>
            </w:r>
          </w:p>
        </w:tc>
        <w:tc>
          <w:tcPr>
            <w:tcW w:w="3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0.00</w:t>
            </w:r>
          </w:p>
        </w:tc>
        <w:tc>
          <w:tcPr>
            <w:tcW w:w="3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0.00</w:t>
            </w:r>
          </w:p>
        </w:tc>
        <w:tc>
          <w:tcPr>
            <w:tcW w:w="34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不适用</w:t>
            </w:r>
          </w:p>
        </w:tc>
        <w:tc>
          <w:tcPr>
            <w:tcW w:w="349"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不适用</w:t>
            </w:r>
          </w:p>
        </w:tc>
        <w:tc>
          <w:tcPr>
            <w:tcW w:w="34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不适用</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是否存在通过多次交易分步处置对子公司投资且在本期丧失控制权的情形</w:t>
      </w:r>
    </w:p>
    <w:p w:rsidR="00403CD6" w:rsidRDefault="00E91A59">
      <w:pPr>
        <w:spacing w:before="100" w:after="100" w:line="240" w:lineRule="exact"/>
      </w:pPr>
      <w:r>
        <w:rPr>
          <w:rFonts w:ascii="宋体" w:eastAsia="宋体" w:hAnsi="宋体" w:cs="宋体" w:hint="eastAsia"/>
          <w:sz w:val="18"/>
          <w:szCs w:val="18"/>
        </w:rPr>
        <w:t xml:space="preserve">□是 </w:t>
      </w:r>
      <w:r>
        <w:rPr>
          <w:rFonts w:asciiTheme="minorEastAsia" w:hAnsiTheme="minorEastAsia" w:cs="Times New Roman"/>
          <w:sz w:val="18"/>
          <w:szCs w:val="18"/>
        </w:rPr>
        <w:t xml:space="preserve"> </w:t>
      </w:r>
      <w:r>
        <w:rPr>
          <w:rFonts w:asciiTheme="minorEastAsia" w:hAnsiTheme="minorEastAsia" w:cs="Times New Roman"/>
          <w:sz w:val="18"/>
          <w:szCs w:val="18"/>
        </w:rPr>
        <w:sym w:font="Wingdings 2" w:char="F052"/>
      </w:r>
      <w:r>
        <w:rPr>
          <w:rFonts w:ascii="宋体" w:eastAsia="宋体" w:hAnsi="宋体" w:cs="宋体" w:hint="eastAsia"/>
          <w:sz w:val="18"/>
          <w:szCs w:val="18"/>
        </w:rPr>
        <w:t>否</w:t>
      </w:r>
    </w:p>
    <w:p w:rsidR="00403CD6" w:rsidRDefault="00E91A59">
      <w:pPr>
        <w:keepNext/>
        <w:keepLines/>
        <w:spacing w:before="300" w:after="300" w:line="280" w:lineRule="exact"/>
        <w:outlineLvl w:val="2"/>
        <w:rPr>
          <w:rFonts w:ascii="宋体" w:eastAsia="宋体" w:hAnsi="宋体" w:cs="宋体"/>
          <w:b/>
          <w:bCs/>
          <w:szCs w:val="21"/>
        </w:rPr>
      </w:pPr>
      <w:bookmarkStart w:id="120" w:name="_Toc989432"/>
      <w:r>
        <w:rPr>
          <w:rFonts w:ascii="宋体" w:eastAsia="宋体" w:hAnsi="宋体" w:cs="宋体" w:hint="eastAsia"/>
          <w:b/>
          <w:bCs/>
          <w:szCs w:val="21"/>
        </w:rPr>
        <w:lastRenderedPageBreak/>
        <w:t>2、其他原因的合并范围变动</w:t>
      </w:r>
      <w:bookmarkEnd w:id="120"/>
    </w:p>
    <w:p w:rsidR="00403CD6" w:rsidRDefault="00E91A59">
      <w:pPr>
        <w:tabs>
          <w:tab w:val="left" w:pos="9030"/>
        </w:tabs>
        <w:adjustRightInd w:val="0"/>
        <w:snapToGrid w:val="0"/>
        <w:spacing w:beforeLines="50" w:before="156" w:afterLines="90" w:after="280"/>
        <w:ind w:firstLineChars="200" w:firstLine="360"/>
        <w:rPr>
          <w:rFonts w:ascii="Times New Roman" w:hAnsi="Times New Roman" w:cs="Times New Roman"/>
          <w:sz w:val="18"/>
          <w:szCs w:val="18"/>
        </w:rPr>
      </w:pPr>
      <w:r>
        <w:rPr>
          <w:rFonts w:ascii="Times New Roman" w:hAnsi="Times New Roman" w:cs="Times New Roman"/>
          <w:kern w:val="0"/>
          <w:sz w:val="18"/>
          <w:szCs w:val="18"/>
        </w:rPr>
        <w:t>本年度新成立子公司</w:t>
      </w:r>
      <w:r>
        <w:rPr>
          <w:rFonts w:ascii="Times New Roman" w:hAnsi="Times New Roman" w:cs="Times New Roman"/>
          <w:kern w:val="0"/>
          <w:sz w:val="18"/>
          <w:szCs w:val="18"/>
        </w:rPr>
        <w:t>2</w:t>
      </w:r>
      <w:r>
        <w:rPr>
          <w:rFonts w:ascii="Times New Roman" w:hAnsi="Times New Roman" w:cs="Times New Roman"/>
          <w:kern w:val="0"/>
          <w:sz w:val="18"/>
          <w:szCs w:val="18"/>
        </w:rPr>
        <w:t>家，为山东晨鸣实业贸易有限公司和湖北晨鸣科技实业有限公司；注销子公司</w:t>
      </w:r>
      <w:r>
        <w:rPr>
          <w:rFonts w:ascii="Times New Roman" w:hAnsi="Times New Roman" w:cs="Times New Roman"/>
          <w:kern w:val="0"/>
          <w:sz w:val="18"/>
          <w:szCs w:val="18"/>
        </w:rPr>
        <w:t>2</w:t>
      </w:r>
      <w:r>
        <w:rPr>
          <w:rFonts w:ascii="Times New Roman" w:hAnsi="Times New Roman" w:cs="Times New Roman"/>
          <w:kern w:val="0"/>
          <w:sz w:val="18"/>
          <w:szCs w:val="18"/>
        </w:rPr>
        <w:t>家，为晨</w:t>
      </w:r>
      <w:proofErr w:type="gramStart"/>
      <w:r>
        <w:rPr>
          <w:rFonts w:ascii="Times New Roman" w:hAnsi="Times New Roman" w:cs="Times New Roman"/>
          <w:kern w:val="0"/>
          <w:sz w:val="18"/>
          <w:szCs w:val="18"/>
        </w:rPr>
        <w:t>鸣国际</w:t>
      </w:r>
      <w:proofErr w:type="gramEnd"/>
      <w:r>
        <w:rPr>
          <w:rFonts w:ascii="Times New Roman" w:hAnsi="Times New Roman" w:cs="Times New Roman"/>
          <w:kern w:val="0"/>
          <w:sz w:val="18"/>
          <w:szCs w:val="18"/>
        </w:rPr>
        <w:t>有限公司和广州晨</w:t>
      </w:r>
      <w:proofErr w:type="gramStart"/>
      <w:r>
        <w:rPr>
          <w:rFonts w:ascii="Times New Roman" w:hAnsi="Times New Roman" w:cs="Times New Roman"/>
          <w:kern w:val="0"/>
          <w:sz w:val="18"/>
          <w:szCs w:val="18"/>
        </w:rPr>
        <w:t>鸣商业保理</w:t>
      </w:r>
      <w:proofErr w:type="gramEnd"/>
      <w:r>
        <w:rPr>
          <w:rFonts w:ascii="Times New Roman" w:hAnsi="Times New Roman" w:cs="Times New Roman"/>
          <w:kern w:val="0"/>
          <w:sz w:val="18"/>
          <w:szCs w:val="18"/>
        </w:rPr>
        <w:t>有限公司。</w:t>
      </w:r>
      <w:r>
        <w:rPr>
          <w:rFonts w:ascii="Times New Roman" w:hAnsi="Times New Roman" w:cs="Times New Roman"/>
          <w:kern w:val="0"/>
          <w:sz w:val="18"/>
          <w:szCs w:val="18"/>
        </w:rPr>
        <w:t xml:space="preserve"> </w:t>
      </w:r>
    </w:p>
    <w:p w:rsidR="00403CD6" w:rsidRDefault="00E91A59">
      <w:pPr>
        <w:pStyle w:val="2"/>
        <w:spacing w:before="300" w:after="300" w:line="320" w:lineRule="exact"/>
        <w:rPr>
          <w:rFonts w:ascii="宋体" w:eastAsia="宋体" w:hAnsi="宋体" w:cs="宋体"/>
          <w:b/>
          <w:bCs/>
          <w:sz w:val="24"/>
          <w:szCs w:val="24"/>
        </w:rPr>
      </w:pPr>
      <w:bookmarkStart w:id="121" w:name="_Toc989336"/>
      <w:bookmarkEnd w:id="117"/>
      <w:bookmarkEnd w:id="118"/>
      <w:r>
        <w:rPr>
          <w:rFonts w:ascii="宋体" w:eastAsia="宋体" w:hAnsi="宋体" w:cs="宋体" w:hint="eastAsia"/>
          <w:b/>
          <w:bCs/>
          <w:sz w:val="24"/>
          <w:szCs w:val="24"/>
        </w:rPr>
        <w:t>十、在其他主体中的权益</w:t>
      </w:r>
    </w:p>
    <w:p w:rsidR="00403CD6" w:rsidRDefault="00E91A59">
      <w:pPr>
        <w:keepNext/>
        <w:keepLines/>
        <w:spacing w:before="300" w:after="300" w:line="280" w:lineRule="exact"/>
        <w:outlineLvl w:val="2"/>
        <w:rPr>
          <w:rFonts w:ascii="宋体" w:eastAsia="宋体" w:hAnsi="宋体" w:cs="宋体"/>
          <w:b/>
          <w:bCs/>
          <w:szCs w:val="21"/>
        </w:rPr>
      </w:pPr>
      <w:bookmarkStart w:id="122" w:name="_Toc989435"/>
      <w:r>
        <w:rPr>
          <w:rFonts w:ascii="宋体" w:eastAsia="宋体" w:hAnsi="宋体" w:cs="宋体" w:hint="eastAsia"/>
          <w:b/>
          <w:bCs/>
          <w:szCs w:val="21"/>
        </w:rPr>
        <w:t>1、在子公司中的权益</w:t>
      </w:r>
      <w:bookmarkEnd w:id="122"/>
    </w:p>
    <w:p w:rsidR="00403CD6" w:rsidRDefault="00E91A59">
      <w:pPr>
        <w:keepNext/>
        <w:keepLines/>
        <w:spacing w:before="300" w:after="300" w:line="280" w:lineRule="exact"/>
        <w:outlineLvl w:val="3"/>
        <w:rPr>
          <w:rFonts w:ascii="宋体" w:eastAsia="宋体" w:hAnsi="宋体" w:cs="宋体"/>
          <w:b/>
          <w:bCs/>
          <w:sz w:val="18"/>
          <w:szCs w:val="18"/>
        </w:rPr>
      </w:pPr>
      <w:bookmarkStart w:id="123" w:name="_Toc989436"/>
      <w:r>
        <w:rPr>
          <w:rFonts w:ascii="宋体" w:eastAsia="宋体" w:hAnsi="宋体" w:cs="宋体" w:hint="eastAsia"/>
          <w:b/>
          <w:bCs/>
          <w:sz w:val="18"/>
          <w:szCs w:val="18"/>
        </w:rPr>
        <w:t>（1） 企业集团的构成</w:t>
      </w:r>
      <w:bookmarkEnd w:id="123"/>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w:t>
      </w:r>
      <w:r>
        <w:rPr>
          <w:rFonts w:ascii="Times New Roman" w:hAnsi="Times New Roman" w:cs="Times New Roman" w:hint="eastAsia"/>
          <w:sz w:val="18"/>
          <w:szCs w:val="18"/>
        </w:rPr>
        <w:t>万</w:t>
      </w:r>
      <w:r>
        <w:rPr>
          <w:rFonts w:ascii="Times New Roman" w:hAnsi="Times New Roman" w:cs="Times New Roman"/>
          <w:sz w:val="18"/>
          <w:szCs w:val="18"/>
        </w:rPr>
        <w:t>元</w:t>
      </w:r>
    </w:p>
    <w:tbl>
      <w:tblPr>
        <w:tblW w:w="4726" w:type="pct"/>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223"/>
        <w:gridCol w:w="1277"/>
        <w:gridCol w:w="566"/>
        <w:gridCol w:w="542"/>
        <w:gridCol w:w="616"/>
        <w:gridCol w:w="759"/>
        <w:gridCol w:w="867"/>
        <w:gridCol w:w="616"/>
        <w:gridCol w:w="473"/>
        <w:gridCol w:w="616"/>
        <w:gridCol w:w="607"/>
      </w:tblGrid>
      <w:tr w:rsidR="00403CD6">
        <w:trPr>
          <w:trHeight w:val="315"/>
        </w:trPr>
        <w:tc>
          <w:tcPr>
            <w:tcW w:w="1213"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子公司名称</w:t>
            </w:r>
          </w:p>
        </w:tc>
        <w:tc>
          <w:tcPr>
            <w:tcW w:w="697"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注册资本</w:t>
            </w:r>
          </w:p>
        </w:tc>
        <w:tc>
          <w:tcPr>
            <w:tcW w:w="309"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主要经营地</w:t>
            </w:r>
          </w:p>
        </w:tc>
        <w:tc>
          <w:tcPr>
            <w:tcW w:w="296"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注册地</w:t>
            </w:r>
          </w:p>
        </w:tc>
        <w:tc>
          <w:tcPr>
            <w:tcW w:w="336"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业务性质</w:t>
            </w:r>
          </w:p>
        </w:tc>
        <w:tc>
          <w:tcPr>
            <w:tcW w:w="414"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法人类别</w:t>
            </w:r>
          </w:p>
        </w:tc>
        <w:tc>
          <w:tcPr>
            <w:tcW w:w="809" w:type="pct"/>
            <w:gridSpan w:val="2"/>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持股比例</w:t>
            </w:r>
          </w:p>
        </w:tc>
        <w:tc>
          <w:tcPr>
            <w:tcW w:w="258"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取得方式</w:t>
            </w:r>
          </w:p>
        </w:tc>
        <w:tc>
          <w:tcPr>
            <w:tcW w:w="336"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已发行债务证券</w:t>
            </w:r>
          </w:p>
        </w:tc>
        <w:tc>
          <w:tcPr>
            <w:tcW w:w="331" w:type="pct"/>
            <w:vMerge w:val="restar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已发行股本</w:t>
            </w:r>
          </w:p>
        </w:tc>
      </w:tr>
      <w:tr w:rsidR="00403CD6">
        <w:trPr>
          <w:trHeight w:val="315"/>
        </w:trPr>
        <w:tc>
          <w:tcPr>
            <w:tcW w:w="1213" w:type="pct"/>
            <w:vMerge/>
            <w:vAlign w:val="center"/>
          </w:tcPr>
          <w:p w:rsidR="00403CD6" w:rsidRDefault="00403CD6">
            <w:pPr>
              <w:widowControl/>
              <w:rPr>
                <w:rFonts w:ascii="Times New Roman" w:eastAsia="宋体" w:hAnsi="Times New Roman" w:cs="Times New Roman"/>
                <w:kern w:val="0"/>
                <w:sz w:val="18"/>
                <w:szCs w:val="18"/>
              </w:rPr>
            </w:pPr>
          </w:p>
        </w:tc>
        <w:tc>
          <w:tcPr>
            <w:tcW w:w="697" w:type="pct"/>
            <w:vMerge/>
            <w:vAlign w:val="center"/>
          </w:tcPr>
          <w:p w:rsidR="00403CD6" w:rsidRDefault="00403CD6">
            <w:pPr>
              <w:widowControl/>
              <w:jc w:val="right"/>
              <w:rPr>
                <w:rFonts w:ascii="Times New Roman" w:eastAsia="宋体" w:hAnsi="Times New Roman" w:cs="Times New Roman"/>
                <w:kern w:val="0"/>
                <w:sz w:val="18"/>
                <w:szCs w:val="18"/>
              </w:rPr>
            </w:pPr>
          </w:p>
        </w:tc>
        <w:tc>
          <w:tcPr>
            <w:tcW w:w="309" w:type="pct"/>
            <w:vMerge/>
            <w:vAlign w:val="center"/>
          </w:tcPr>
          <w:p w:rsidR="00403CD6" w:rsidRDefault="00403CD6">
            <w:pPr>
              <w:widowControl/>
              <w:rPr>
                <w:rFonts w:ascii="Times New Roman" w:eastAsia="宋体" w:hAnsi="Times New Roman" w:cs="Times New Roman"/>
                <w:kern w:val="0"/>
                <w:sz w:val="18"/>
                <w:szCs w:val="18"/>
              </w:rPr>
            </w:pPr>
          </w:p>
        </w:tc>
        <w:tc>
          <w:tcPr>
            <w:tcW w:w="296" w:type="pct"/>
            <w:vMerge/>
            <w:vAlign w:val="center"/>
          </w:tcPr>
          <w:p w:rsidR="00403CD6" w:rsidRDefault="00403CD6">
            <w:pPr>
              <w:widowControl/>
              <w:rPr>
                <w:rFonts w:ascii="Times New Roman" w:eastAsia="宋体" w:hAnsi="Times New Roman" w:cs="Times New Roman"/>
                <w:kern w:val="0"/>
                <w:sz w:val="18"/>
                <w:szCs w:val="18"/>
              </w:rPr>
            </w:pPr>
          </w:p>
        </w:tc>
        <w:tc>
          <w:tcPr>
            <w:tcW w:w="336" w:type="pct"/>
            <w:vMerge/>
            <w:vAlign w:val="center"/>
          </w:tcPr>
          <w:p w:rsidR="00403CD6" w:rsidRDefault="00403CD6">
            <w:pPr>
              <w:widowControl/>
              <w:rPr>
                <w:rFonts w:ascii="Times New Roman" w:eastAsia="宋体" w:hAnsi="Times New Roman" w:cs="Times New Roman"/>
                <w:kern w:val="0"/>
                <w:sz w:val="18"/>
                <w:szCs w:val="18"/>
              </w:rPr>
            </w:pPr>
          </w:p>
        </w:tc>
        <w:tc>
          <w:tcPr>
            <w:tcW w:w="414" w:type="pct"/>
            <w:vMerge/>
            <w:vAlign w:val="center"/>
          </w:tcPr>
          <w:p w:rsidR="00403CD6" w:rsidRDefault="00403CD6">
            <w:pPr>
              <w:widowControl/>
              <w:rPr>
                <w:rFonts w:ascii="Times New Roman" w:eastAsia="宋体" w:hAnsi="Times New Roman" w:cs="Times New Roman"/>
                <w:kern w:val="0"/>
                <w:sz w:val="18"/>
                <w:szCs w:val="18"/>
              </w:rPr>
            </w:pPr>
          </w:p>
        </w:tc>
        <w:tc>
          <w:tcPr>
            <w:tcW w:w="473" w:type="pc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直接（</w:t>
            </w:r>
            <w:r>
              <w:rPr>
                <w:rFonts w:ascii="Times New Roman" w:eastAsia="宋体" w:hAnsi="Times New Roman" w:cs="Times New Roman"/>
                <w:kern w:val="0"/>
                <w:sz w:val="18"/>
                <w:szCs w:val="18"/>
              </w:rPr>
              <w:t>%</w:t>
            </w:r>
            <w:r>
              <w:rPr>
                <w:rFonts w:ascii="Times New Roman" w:eastAsia="宋体" w:hAnsi="Times New Roman" w:cs="Times New Roman"/>
                <w:kern w:val="0"/>
                <w:sz w:val="18"/>
                <w:szCs w:val="18"/>
              </w:rPr>
              <w:t>）</w:t>
            </w:r>
          </w:p>
        </w:tc>
        <w:tc>
          <w:tcPr>
            <w:tcW w:w="336" w:type="pct"/>
            <w:shd w:val="clear" w:color="000000" w:fill="D3D3D3"/>
            <w:vAlign w:val="center"/>
          </w:tcPr>
          <w:p w:rsidR="00403CD6" w:rsidRDefault="00E91A59">
            <w:pPr>
              <w:widowControl/>
              <w:jc w:val="center"/>
              <w:rPr>
                <w:rFonts w:ascii="Times New Roman" w:eastAsia="宋体" w:hAnsi="Times New Roman" w:cs="Times New Roman"/>
                <w:kern w:val="0"/>
                <w:sz w:val="18"/>
                <w:szCs w:val="18"/>
              </w:rPr>
            </w:pPr>
            <w:r>
              <w:rPr>
                <w:rFonts w:ascii="Times New Roman" w:eastAsia="宋体" w:hAnsi="Times New Roman" w:cs="Times New Roman"/>
                <w:kern w:val="0"/>
                <w:sz w:val="18"/>
                <w:szCs w:val="18"/>
              </w:rPr>
              <w:t>间接（</w:t>
            </w:r>
            <w:r>
              <w:rPr>
                <w:rFonts w:ascii="Times New Roman" w:eastAsia="宋体" w:hAnsi="Times New Roman" w:cs="Times New Roman"/>
                <w:kern w:val="0"/>
                <w:sz w:val="18"/>
                <w:szCs w:val="18"/>
              </w:rPr>
              <w:t>%</w:t>
            </w:r>
            <w:r>
              <w:rPr>
                <w:rFonts w:ascii="Times New Roman" w:eastAsia="宋体" w:hAnsi="Times New Roman" w:cs="Times New Roman"/>
                <w:kern w:val="0"/>
                <w:sz w:val="18"/>
                <w:szCs w:val="18"/>
              </w:rPr>
              <w:t>）</w:t>
            </w:r>
          </w:p>
        </w:tc>
        <w:tc>
          <w:tcPr>
            <w:tcW w:w="258" w:type="pct"/>
            <w:vMerge/>
            <w:vAlign w:val="center"/>
          </w:tcPr>
          <w:p w:rsidR="00403CD6" w:rsidRDefault="00403CD6">
            <w:pPr>
              <w:widowControl/>
              <w:rPr>
                <w:rFonts w:ascii="Times New Roman" w:eastAsia="宋体" w:hAnsi="Times New Roman" w:cs="Times New Roman"/>
                <w:kern w:val="0"/>
                <w:sz w:val="18"/>
                <w:szCs w:val="18"/>
              </w:rPr>
            </w:pPr>
          </w:p>
        </w:tc>
        <w:tc>
          <w:tcPr>
            <w:tcW w:w="336" w:type="pct"/>
            <w:vMerge/>
            <w:vAlign w:val="center"/>
          </w:tcPr>
          <w:p w:rsidR="00403CD6" w:rsidRDefault="00403CD6">
            <w:pPr>
              <w:widowControl/>
              <w:rPr>
                <w:rFonts w:ascii="Times New Roman" w:eastAsia="宋体" w:hAnsi="Times New Roman" w:cs="Times New Roman"/>
                <w:kern w:val="0"/>
                <w:sz w:val="18"/>
                <w:szCs w:val="18"/>
              </w:rPr>
            </w:pPr>
          </w:p>
        </w:tc>
        <w:tc>
          <w:tcPr>
            <w:tcW w:w="331" w:type="pct"/>
            <w:vMerge/>
            <w:vAlign w:val="center"/>
          </w:tcPr>
          <w:p w:rsidR="00403CD6" w:rsidRDefault="00403CD6">
            <w:pPr>
              <w:widowControl/>
              <w:rPr>
                <w:rFonts w:ascii="Times New Roman" w:eastAsia="宋体" w:hAnsi="Times New Roman" w:cs="Times New Roman"/>
                <w:kern w:val="0"/>
                <w:sz w:val="18"/>
                <w:szCs w:val="18"/>
              </w:rPr>
            </w:pP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寿光美伦纸业有限责任公司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480,104.55</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hint="eastAsia"/>
                <w:sz w:val="18"/>
                <w:szCs w:val="18"/>
              </w:rPr>
              <w:t>68.28</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寿光美辰能源科技有限公司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电力</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山东晨鸣实业贸易有限公司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hint="eastAsia"/>
                <w:sz w:val="18"/>
                <w:szCs w:val="18"/>
              </w:rPr>
              <w:t>,</w:t>
            </w:r>
            <w:r>
              <w:rPr>
                <w:rFonts w:ascii="Times New Roman" w:hAnsi="Times New Roman" w:cs="Times New Roman"/>
                <w:sz w:val="18"/>
                <w:szCs w:val="18"/>
              </w:rPr>
              <w:t>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潍坊</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潍坊</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寿光晨鸣美术纸有限公司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75</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山东晨鸣纸业销售有限公司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纸品销售</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上海晨鸣浆纸销售有限公司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山东晨鸣纸品销售有限公司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w:t>
            </w:r>
            <w:r>
              <w:rPr>
                <w:rFonts w:ascii="Times New Roman" w:hAnsi="Times New Roman" w:cs="Times New Roman" w:hint="eastAsia"/>
                <w:sz w:val="18"/>
                <w:szCs w:val="18"/>
              </w:rPr>
              <w:t>,</w:t>
            </w:r>
            <w:r>
              <w:rPr>
                <w:rFonts w:ascii="Times New Roman" w:hAnsi="Times New Roman" w:cs="Times New Roman"/>
                <w:sz w:val="18"/>
                <w:szCs w:val="18"/>
              </w:rPr>
              <w:t>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寿光晨鸣进出口贸易有限公司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35.71</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64.29</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江西晨</w:t>
            </w:r>
            <w:proofErr w:type="gramStart"/>
            <w:r>
              <w:rPr>
                <w:rFonts w:ascii="Times New Roman" w:hAnsi="Times New Roman" w:cs="Times New Roman"/>
                <w:sz w:val="18"/>
                <w:szCs w:val="18"/>
              </w:rPr>
              <w:t>鸣供应</w:t>
            </w:r>
            <w:proofErr w:type="gramEnd"/>
            <w:r>
              <w:rPr>
                <w:rFonts w:ascii="Times New Roman" w:hAnsi="Times New Roman" w:cs="Times New Roman"/>
                <w:sz w:val="18"/>
                <w:szCs w:val="18"/>
              </w:rPr>
              <w:t>链管理有限公司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湛江晨鸣浆纸有限公司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691,357.24</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80.28</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湛江晨鸣林业发展有限公司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130,000.00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林业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阳江晨鸣林业发展有限公司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22,000.00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阳江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阳江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林业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广东慧锐投资有限公司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25,800.00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投资</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湖北长江晨鸣黄冈股权投资基金合伙企业（有限合伙）</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200,100.00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基金</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59.97</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海南晨鸣科技有限公司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海口</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海口</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批发零售</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佛山晨鸣进出口贸易有限公司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佛山</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佛山</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上海和</w:t>
            </w:r>
            <w:proofErr w:type="gramStart"/>
            <w:r>
              <w:rPr>
                <w:rFonts w:ascii="Times New Roman" w:hAnsi="Times New Roman" w:cs="Times New Roman"/>
                <w:sz w:val="18"/>
                <w:szCs w:val="18"/>
              </w:rPr>
              <w:t>睿</w:t>
            </w:r>
            <w:proofErr w:type="gramEnd"/>
            <w:r>
              <w:rPr>
                <w:rFonts w:ascii="Times New Roman" w:hAnsi="Times New Roman" w:cs="Times New Roman"/>
                <w:sz w:val="18"/>
                <w:szCs w:val="18"/>
              </w:rPr>
              <w:t>投资有限公司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30,150.00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商务服务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湛江晨</w:t>
            </w:r>
            <w:proofErr w:type="gramStart"/>
            <w:r>
              <w:rPr>
                <w:rFonts w:ascii="Times New Roman" w:hAnsi="Times New Roman" w:cs="Times New Roman"/>
                <w:sz w:val="18"/>
                <w:szCs w:val="18"/>
              </w:rPr>
              <w:t>鸣科技</w:t>
            </w:r>
            <w:proofErr w:type="gramEnd"/>
            <w:r>
              <w:rPr>
                <w:rFonts w:ascii="Times New Roman" w:hAnsi="Times New Roman" w:cs="Times New Roman"/>
                <w:sz w:val="18"/>
                <w:szCs w:val="18"/>
              </w:rPr>
              <w:t>发展有限公司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湛江美伦浆纸有限公司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湛江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广东晨鸣板材有限责任公司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广东</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广东</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板材</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lastRenderedPageBreak/>
              <w:t>江西晨鸣茶业有限公司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茶业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江西晨鸣纸业有限责任公司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32,673.32</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color w:val="0000FF"/>
                <w:sz w:val="18"/>
                <w:szCs w:val="18"/>
              </w:rPr>
            </w:pPr>
            <w:r>
              <w:rPr>
                <w:rFonts w:ascii="Times New Roman" w:hAnsi="Times New Roman" w:cs="Times New Roman"/>
                <w:sz w:val="18"/>
                <w:szCs w:val="18"/>
              </w:rPr>
              <w:t>江西晨鸣物流有限公司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南昌昇恒贸易有限公司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proofErr w:type="gramStart"/>
            <w:r>
              <w:rPr>
                <w:rFonts w:ascii="Times New Roman" w:hAnsi="Times New Roman" w:cs="Times New Roman"/>
                <w:sz w:val="18"/>
                <w:szCs w:val="18"/>
              </w:rPr>
              <w:t>南昌坤恒贸易</w:t>
            </w:r>
            <w:proofErr w:type="gramEnd"/>
            <w:r>
              <w:rPr>
                <w:rFonts w:ascii="Times New Roman" w:hAnsi="Times New Roman" w:cs="Times New Roman"/>
                <w:sz w:val="18"/>
                <w:szCs w:val="18"/>
              </w:rPr>
              <w:t>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南昌晨鸣林业发展有限公司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南昌</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林业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江西晨鸣港务有限责任公司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1,507.00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江西</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货物运输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w:t>
            </w:r>
            <w:proofErr w:type="gramStart"/>
            <w:r>
              <w:rPr>
                <w:rFonts w:ascii="Times New Roman" w:hAnsi="Times New Roman" w:cs="Times New Roman"/>
                <w:sz w:val="18"/>
                <w:szCs w:val="18"/>
              </w:rPr>
              <w:t>鼎坤资产</w:t>
            </w:r>
            <w:proofErr w:type="gramEnd"/>
            <w:r>
              <w:rPr>
                <w:rFonts w:ascii="Times New Roman" w:hAnsi="Times New Roman" w:cs="Times New Roman"/>
                <w:sz w:val="18"/>
                <w:szCs w:val="18"/>
              </w:rPr>
              <w:t>管理合伙企业（有限合伙）</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100,100.00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商务服务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寿光坤和贸易有限公司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吉林晨鸣纸业有限责任公司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购买</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富裕晨鸣纸业有限责任公司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30,800.00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富裕</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富裕</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吉林晨鸣新型墙</w:t>
            </w:r>
            <w:proofErr w:type="gramStart"/>
            <w:r>
              <w:rPr>
                <w:rFonts w:ascii="Times New Roman" w:hAnsi="Times New Roman" w:cs="Times New Roman"/>
                <w:sz w:val="18"/>
                <w:szCs w:val="18"/>
              </w:rPr>
              <w:t>体材</w:t>
            </w:r>
            <w:proofErr w:type="gramEnd"/>
            <w:r>
              <w:rPr>
                <w:rFonts w:ascii="Times New Roman" w:hAnsi="Times New Roman" w:cs="Times New Roman"/>
                <w:sz w:val="18"/>
                <w:szCs w:val="18"/>
              </w:rPr>
              <w:t>料有限公司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墙体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吉林晨鸣物流有限公司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hint="eastAsia"/>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吉林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吉林晨鸣浆纤贸易有限公司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黄冈晨鸣浆纸有限公司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335,000.00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制浆</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70.15</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29.85</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黄冈晨鸣纸业科技有限公司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黄冈晨鸣港口服务有限公司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港口服务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湖北黄冈晨鸣股权投资基金管理有限公司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资本市场服务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60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湖北晨鸣科技实业有限公司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山东晨鸣集团财务有限公司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金融</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80</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山东晨鸣融资租赁有限公司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587,200.00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融资租赁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晨鸣（香港）有限公司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9,990.00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香港</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香港</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青岛晨鸣弄海融资租赁有限公司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青岛</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青岛</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融资租赁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上海晨鸣融资租赁有限公司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融资租赁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武汉骏恒物业管理有限公司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39,600.00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武汉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武汉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广州晨鸣物业管理有限公司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广州</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广州</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山东晨鸣投资有限公司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投资</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山西富银工贸有限公司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36,000.00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太原</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太原</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批发零售</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购买</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崇闵文化发展（上海）有限公司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租赁与商业服</w:t>
            </w:r>
            <w:r>
              <w:rPr>
                <w:rFonts w:ascii="Times New Roman" w:hAnsi="Times New Roman" w:cs="Times New Roman"/>
                <w:sz w:val="18"/>
                <w:szCs w:val="18"/>
              </w:rPr>
              <w:lastRenderedPageBreak/>
              <w:t>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lastRenderedPageBreak/>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购买</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lastRenderedPageBreak/>
              <w:t>济南晨鸣纸业销售有限公司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投资管理</w:t>
            </w:r>
            <w:r>
              <w:rPr>
                <w:rFonts w:ascii="Times New Roman" w:hAnsi="Times New Roman" w:cs="Times New Roman"/>
                <w:sz w:val="18"/>
                <w:szCs w:val="18"/>
              </w:rPr>
              <w:t>/</w:t>
            </w: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山东晨</w:t>
            </w:r>
            <w:proofErr w:type="gramStart"/>
            <w:r>
              <w:rPr>
                <w:rFonts w:ascii="Times New Roman" w:hAnsi="Times New Roman" w:cs="Times New Roman"/>
                <w:sz w:val="18"/>
                <w:szCs w:val="18"/>
              </w:rPr>
              <w:t>鸣商业保理</w:t>
            </w:r>
            <w:proofErr w:type="gramEnd"/>
            <w:r>
              <w:rPr>
                <w:rFonts w:ascii="Times New Roman" w:hAnsi="Times New Roman" w:cs="Times New Roman"/>
                <w:sz w:val="18"/>
                <w:szCs w:val="18"/>
              </w:rPr>
              <w:t>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济南</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proofErr w:type="gramStart"/>
            <w:r>
              <w:rPr>
                <w:rFonts w:ascii="Times New Roman" w:hAnsi="Times New Roman" w:cs="Times New Roman"/>
                <w:sz w:val="18"/>
                <w:szCs w:val="18"/>
              </w:rPr>
              <w:t>商业保理</w:t>
            </w:r>
            <w:proofErr w:type="gramEnd"/>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w:t>
            </w:r>
            <w:r>
              <w:rPr>
                <w:rFonts w:ascii="Times New Roman" w:hAnsi="Times New Roman" w:cs="Times New Roman"/>
                <w:sz w:val="18"/>
                <w:szCs w:val="18"/>
              </w:rPr>
              <w:t>GmbH</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65.00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德国</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德国</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晨鸣纸业日本株式会社</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150.00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日本</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日本</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晨鸣纸业美国有限公司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美国</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美国</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晨鸣纸业韩国株式会社</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韩国</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韩国</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晨鸣（海外）有限公司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香港</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香港</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晨鸣（新加坡）有限公司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新加坡</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新加坡</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纸品贸易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美伦</w:t>
            </w:r>
            <w:r>
              <w:rPr>
                <w:rFonts w:ascii="Times New Roman" w:hAnsi="Times New Roman" w:cs="Times New Roman"/>
                <w:sz w:val="18"/>
                <w:szCs w:val="18"/>
              </w:rPr>
              <w:t>BVI</w:t>
            </w:r>
            <w:r>
              <w:rPr>
                <w:rFonts w:ascii="Times New Roman" w:hAnsi="Times New Roman" w:cs="Times New Roman"/>
                <w:sz w:val="18"/>
                <w:szCs w:val="18"/>
              </w:rPr>
              <w:t>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开</w:t>
            </w:r>
            <w:proofErr w:type="gramStart"/>
            <w:r>
              <w:rPr>
                <w:rFonts w:ascii="Times New Roman" w:hAnsi="Times New Roman" w:cs="Times New Roman"/>
                <w:sz w:val="18"/>
                <w:szCs w:val="18"/>
              </w:rPr>
              <w:t>曼</w:t>
            </w:r>
            <w:proofErr w:type="gramEnd"/>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开</w:t>
            </w:r>
            <w:proofErr w:type="gramStart"/>
            <w:r>
              <w:rPr>
                <w:rFonts w:ascii="Times New Roman" w:hAnsi="Times New Roman" w:cs="Times New Roman"/>
                <w:sz w:val="18"/>
                <w:szCs w:val="18"/>
              </w:rPr>
              <w:t>曼</w:t>
            </w:r>
            <w:proofErr w:type="gramEnd"/>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商业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上海晨鸣实业有限公司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370,000.00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房产投管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上海晨银贸易有限公司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41,000.00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贸易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51</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上海鸿泰房地产有限公司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6,0391.77</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房地产</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上海鸿泰物业管理有限公司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上海</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寿光晨鸣造纸机械有限公司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机械制造</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寿光鸿翔印刷包装有限责任公司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80.00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印刷包装</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购买</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寿光晨</w:t>
            </w:r>
            <w:proofErr w:type="gramStart"/>
            <w:r>
              <w:rPr>
                <w:rFonts w:ascii="Times New Roman" w:hAnsi="Times New Roman" w:cs="Times New Roman"/>
                <w:sz w:val="18"/>
                <w:szCs w:val="18"/>
              </w:rPr>
              <w:t>鸣现代</w:t>
            </w:r>
            <w:proofErr w:type="gramEnd"/>
            <w:r>
              <w:rPr>
                <w:rFonts w:ascii="Times New Roman" w:hAnsi="Times New Roman" w:cs="Times New Roman"/>
                <w:sz w:val="18"/>
                <w:szCs w:val="18"/>
              </w:rPr>
              <w:t>物流有限公司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运输</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proofErr w:type="gramStart"/>
            <w:r>
              <w:rPr>
                <w:rFonts w:ascii="Times New Roman" w:hAnsi="Times New Roman" w:cs="Times New Roman"/>
                <w:sz w:val="18"/>
                <w:szCs w:val="18"/>
              </w:rPr>
              <w:t>寿光虹宜包装</w:t>
            </w:r>
            <w:proofErr w:type="gramEnd"/>
            <w:r>
              <w:rPr>
                <w:rFonts w:ascii="Times New Roman" w:hAnsi="Times New Roman" w:cs="Times New Roman"/>
                <w:sz w:val="18"/>
                <w:szCs w:val="18"/>
              </w:rPr>
              <w:t>装饰有限公司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包装</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寿光市新源煤炭有限公司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煤炭</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proofErr w:type="gramStart"/>
            <w:r>
              <w:rPr>
                <w:rFonts w:ascii="Times New Roman" w:hAnsi="Times New Roman" w:cs="Times New Roman"/>
                <w:sz w:val="18"/>
                <w:szCs w:val="18"/>
              </w:rPr>
              <w:t>寿光维远物流</w:t>
            </w:r>
            <w:proofErr w:type="gramEnd"/>
            <w:r>
              <w:rPr>
                <w:rFonts w:ascii="Times New Roman" w:hAnsi="Times New Roman" w:cs="Times New Roman"/>
                <w:sz w:val="18"/>
                <w:szCs w:val="18"/>
              </w:rPr>
              <w:t>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393.00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物流</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寿光市润生废纸回收有限责任公司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2,380.00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废旧购销</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并购</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黄冈晨鸣林业发展有限责任公司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黄冈</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林业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晨鸣林业有限公司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武汉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武汉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林业</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海拉尔晨鸣纸业有限责任公司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1,600.00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海拉尔</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海拉尔</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造纸</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75</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潍坊晨鸣新旧动能转换股权投资基金合伙企业（有限合伙）</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潍坊</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潍坊</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基金</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79</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proofErr w:type="gramStart"/>
            <w:r>
              <w:rPr>
                <w:rFonts w:ascii="Times New Roman" w:hAnsi="Times New Roman" w:cs="Times New Roman"/>
                <w:sz w:val="18"/>
                <w:szCs w:val="18"/>
              </w:rPr>
              <w:t>潍坊晨都股权</w:t>
            </w:r>
            <w:proofErr w:type="gramEnd"/>
            <w:r>
              <w:rPr>
                <w:rFonts w:ascii="Times New Roman" w:hAnsi="Times New Roman" w:cs="Times New Roman"/>
                <w:sz w:val="18"/>
                <w:szCs w:val="18"/>
              </w:rPr>
              <w:t>投资合伙企业（有限合伙）</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32,000.00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资本市场服务</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79.69</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南京晨</w:t>
            </w:r>
            <w:proofErr w:type="gramStart"/>
            <w:r>
              <w:rPr>
                <w:rFonts w:ascii="Times New Roman" w:hAnsi="Times New Roman" w:cs="Times New Roman"/>
                <w:sz w:val="18"/>
                <w:szCs w:val="18"/>
              </w:rPr>
              <w:t>鸣文化</w:t>
            </w:r>
            <w:proofErr w:type="gramEnd"/>
            <w:r>
              <w:rPr>
                <w:rFonts w:ascii="Times New Roman" w:hAnsi="Times New Roman" w:cs="Times New Roman"/>
                <w:sz w:val="18"/>
                <w:szCs w:val="18"/>
              </w:rPr>
              <w:t>传播有限公司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500.00</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南京</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南京</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市场营销</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100</w:t>
            </w: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r w:rsidR="00403CD6">
        <w:trPr>
          <w:trHeight w:val="284"/>
        </w:trPr>
        <w:tc>
          <w:tcPr>
            <w:tcW w:w="1213" w:type="pct"/>
            <w:shd w:val="clear" w:color="auto" w:fill="auto"/>
            <w:vAlign w:val="center"/>
          </w:tcPr>
          <w:p w:rsidR="00403CD6" w:rsidRDefault="00E91A59">
            <w:pPr>
              <w:pStyle w:val="a5"/>
              <w:adjustRightInd w:val="0"/>
              <w:snapToGrid w:val="0"/>
              <w:jc w:val="both"/>
              <w:rPr>
                <w:rFonts w:ascii="Times New Roman" w:hAnsi="Times New Roman" w:cs="Times New Roman"/>
                <w:sz w:val="18"/>
                <w:szCs w:val="18"/>
              </w:rPr>
            </w:pPr>
            <w:r>
              <w:rPr>
                <w:rFonts w:ascii="Times New Roman" w:hAnsi="Times New Roman" w:cs="Times New Roman"/>
                <w:sz w:val="18"/>
                <w:szCs w:val="18"/>
              </w:rPr>
              <w:t>山东御景大酒店有限公司</w:t>
            </w:r>
          </w:p>
        </w:tc>
        <w:tc>
          <w:tcPr>
            <w:tcW w:w="697"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4,192.48</w:t>
            </w:r>
            <w:r>
              <w:rPr>
                <w:rFonts w:ascii="Times New Roman" w:hAnsi="Times New Roman" w:cs="Times New Roman"/>
                <w:sz w:val="18"/>
                <w:szCs w:val="18"/>
              </w:rPr>
              <w:t>（美元）</w:t>
            </w:r>
          </w:p>
        </w:tc>
        <w:tc>
          <w:tcPr>
            <w:tcW w:w="309"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29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寿光</w:t>
            </w:r>
          </w:p>
        </w:tc>
        <w:tc>
          <w:tcPr>
            <w:tcW w:w="336"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餐饮</w:t>
            </w:r>
          </w:p>
        </w:tc>
        <w:tc>
          <w:tcPr>
            <w:tcW w:w="414" w:type="pct"/>
            <w:shd w:val="clear" w:color="auto" w:fill="auto"/>
            <w:vAlign w:val="center"/>
          </w:tcPr>
          <w:p w:rsidR="00403CD6" w:rsidRDefault="00E91A59">
            <w:pPr>
              <w:adjustRightInd w:val="0"/>
              <w:snapToGrid w:val="0"/>
              <w:jc w:val="right"/>
              <w:rPr>
                <w:rFonts w:ascii="Times New Roman" w:hAnsi="Times New Roman" w:cs="Times New Roman"/>
                <w:sz w:val="18"/>
                <w:szCs w:val="18"/>
              </w:rPr>
            </w:pPr>
            <w:r>
              <w:rPr>
                <w:rFonts w:ascii="Times New Roman" w:hAnsi="Times New Roman" w:cs="Times New Roman"/>
                <w:kern w:val="0"/>
                <w:sz w:val="18"/>
                <w:szCs w:val="18"/>
              </w:rPr>
              <w:t>营利法人</w:t>
            </w:r>
          </w:p>
        </w:tc>
        <w:tc>
          <w:tcPr>
            <w:tcW w:w="473" w:type="pct"/>
            <w:shd w:val="clear" w:color="auto" w:fill="auto"/>
            <w:vAlign w:val="center"/>
          </w:tcPr>
          <w:p w:rsidR="00403CD6" w:rsidRDefault="00E91A59">
            <w:pPr>
              <w:pStyle w:val="a5"/>
              <w:adjustRightInd w:val="0"/>
              <w:snapToGrid w:val="0"/>
              <w:jc w:val="right"/>
              <w:rPr>
                <w:rFonts w:ascii="Times New Roman" w:hAnsi="Times New Roman" w:cs="Times New Roman"/>
                <w:sz w:val="18"/>
                <w:szCs w:val="18"/>
              </w:rPr>
            </w:pPr>
            <w:r>
              <w:rPr>
                <w:rFonts w:ascii="Times New Roman" w:hAnsi="Times New Roman" w:cs="Times New Roman"/>
                <w:sz w:val="18"/>
                <w:szCs w:val="18"/>
              </w:rPr>
              <w:t>90.05</w:t>
            </w:r>
          </w:p>
        </w:tc>
        <w:tc>
          <w:tcPr>
            <w:tcW w:w="336" w:type="pct"/>
            <w:shd w:val="clear" w:color="auto" w:fill="auto"/>
            <w:vAlign w:val="center"/>
          </w:tcPr>
          <w:p w:rsidR="00403CD6" w:rsidRDefault="00403CD6">
            <w:pPr>
              <w:pStyle w:val="a5"/>
              <w:adjustRightInd w:val="0"/>
              <w:snapToGrid w:val="0"/>
              <w:jc w:val="right"/>
              <w:rPr>
                <w:rFonts w:ascii="Times New Roman" w:hAnsi="Times New Roman" w:cs="Times New Roman"/>
                <w:sz w:val="18"/>
                <w:szCs w:val="18"/>
              </w:rPr>
            </w:pPr>
          </w:p>
        </w:tc>
        <w:tc>
          <w:tcPr>
            <w:tcW w:w="258" w:type="pct"/>
            <w:shd w:val="clear" w:color="auto" w:fill="auto"/>
            <w:vAlign w:val="center"/>
          </w:tcPr>
          <w:p w:rsidR="00403CD6" w:rsidRDefault="00E91A59">
            <w:pPr>
              <w:pStyle w:val="a5"/>
              <w:adjustRightInd w:val="0"/>
              <w:snapToGrid w:val="0"/>
              <w:jc w:val="center"/>
              <w:rPr>
                <w:rFonts w:ascii="Times New Roman" w:hAnsi="Times New Roman" w:cs="Times New Roman"/>
                <w:sz w:val="18"/>
                <w:szCs w:val="18"/>
              </w:rPr>
            </w:pPr>
            <w:r>
              <w:rPr>
                <w:rFonts w:ascii="Times New Roman" w:hAnsi="Times New Roman" w:cs="Times New Roman"/>
                <w:sz w:val="18"/>
                <w:szCs w:val="18"/>
              </w:rPr>
              <w:t>设立</w:t>
            </w:r>
          </w:p>
        </w:tc>
        <w:tc>
          <w:tcPr>
            <w:tcW w:w="336"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c>
          <w:tcPr>
            <w:tcW w:w="331" w:type="pct"/>
            <w:shd w:val="clear" w:color="auto" w:fill="auto"/>
            <w:vAlign w:val="center"/>
          </w:tcPr>
          <w:p w:rsidR="00403CD6" w:rsidRDefault="00E91A59">
            <w:pPr>
              <w:widowControl/>
              <w:jc w:val="center"/>
              <w:rPr>
                <w:rFonts w:ascii="Times New Roman" w:hAnsi="Times New Roman" w:cs="Times New Roman"/>
                <w:kern w:val="0"/>
                <w:sz w:val="18"/>
                <w:szCs w:val="18"/>
              </w:rPr>
            </w:pPr>
            <w:r>
              <w:rPr>
                <w:rFonts w:ascii="Times New Roman" w:hAnsi="Times New Roman" w:cs="Times New Roman"/>
                <w:kern w:val="0"/>
                <w:sz w:val="18"/>
                <w:szCs w:val="18"/>
              </w:rPr>
              <w:t>0</w:t>
            </w:r>
          </w:p>
        </w:tc>
      </w:tr>
    </w:tbl>
    <w:p w:rsidR="00403CD6" w:rsidRDefault="00E91A59">
      <w:pPr>
        <w:keepNext/>
        <w:keepLines/>
        <w:spacing w:before="300" w:after="300" w:line="280" w:lineRule="exact"/>
        <w:outlineLvl w:val="3"/>
        <w:rPr>
          <w:rFonts w:ascii="宋体" w:eastAsia="宋体" w:hAnsi="宋体" w:cs="宋体"/>
          <w:b/>
          <w:bCs/>
          <w:sz w:val="18"/>
          <w:szCs w:val="18"/>
        </w:rPr>
      </w:pPr>
      <w:r>
        <w:rPr>
          <w:rFonts w:ascii="宋体" w:eastAsia="宋体" w:hAnsi="宋体" w:cs="宋体" w:hint="eastAsia"/>
          <w:b/>
          <w:bCs/>
          <w:sz w:val="18"/>
          <w:szCs w:val="18"/>
        </w:rPr>
        <w:lastRenderedPageBreak/>
        <w:t>（2） 重要的非全资子公司</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1482"/>
        <w:gridCol w:w="1929"/>
        <w:gridCol w:w="1929"/>
        <w:gridCol w:w="1929"/>
      </w:tblGrid>
      <w:tr w:rsidR="00403CD6">
        <w:trPr>
          <w:trHeight w:val="284"/>
        </w:trPr>
        <w:tc>
          <w:tcPr>
            <w:tcW w:w="2376"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子公司名称</w:t>
            </w:r>
          </w:p>
        </w:tc>
        <w:tc>
          <w:tcPr>
            <w:tcW w:w="148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少数股东持股比例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192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本期归属于少数股东的损益</w:t>
            </w:r>
          </w:p>
        </w:tc>
        <w:tc>
          <w:tcPr>
            <w:tcW w:w="192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本期向少数股东宣告分派的股利</w:t>
            </w:r>
          </w:p>
        </w:tc>
        <w:tc>
          <w:tcPr>
            <w:tcW w:w="1929"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期末少数股东权益余额</w:t>
            </w:r>
          </w:p>
        </w:tc>
      </w:tr>
      <w:tr w:rsidR="00403CD6">
        <w:trPr>
          <w:trHeight w:val="284"/>
        </w:trPr>
        <w:tc>
          <w:tcPr>
            <w:tcW w:w="2376" w:type="dxa"/>
            <w:shd w:val="clear" w:color="auto" w:fill="auto"/>
            <w:vAlign w:val="center"/>
          </w:tcPr>
          <w:p w:rsidR="00403CD6" w:rsidRDefault="00E91A59">
            <w:pPr>
              <w:adjustRightInd w:val="0"/>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寿光美伦纸业有限责任公司</w:t>
            </w:r>
          </w:p>
        </w:tc>
        <w:tc>
          <w:tcPr>
            <w:tcW w:w="1482"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31.72</w:t>
            </w:r>
          </w:p>
        </w:tc>
        <w:tc>
          <w:tcPr>
            <w:tcW w:w="1929" w:type="dxa"/>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-179,691,337.36 </w:t>
            </w:r>
          </w:p>
        </w:tc>
        <w:tc>
          <w:tcPr>
            <w:tcW w:w="1929"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123,000,000.00</w:t>
            </w:r>
          </w:p>
        </w:tc>
        <w:tc>
          <w:tcPr>
            <w:tcW w:w="1929" w:type="dxa"/>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1,610,257,206.10</w:t>
            </w:r>
          </w:p>
        </w:tc>
      </w:tr>
      <w:tr w:rsidR="00403CD6">
        <w:trPr>
          <w:trHeight w:val="284"/>
        </w:trPr>
        <w:tc>
          <w:tcPr>
            <w:tcW w:w="2376" w:type="dxa"/>
            <w:shd w:val="clear" w:color="auto" w:fill="auto"/>
            <w:vAlign w:val="center"/>
          </w:tcPr>
          <w:p w:rsidR="00403CD6" w:rsidRDefault="00E91A59">
            <w:pPr>
              <w:adjustRightInd w:val="0"/>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湛江晨鸣浆纸有限公司</w:t>
            </w:r>
          </w:p>
        </w:tc>
        <w:tc>
          <w:tcPr>
            <w:tcW w:w="1482"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19.72</w:t>
            </w:r>
          </w:p>
        </w:tc>
        <w:tc>
          <w:tcPr>
            <w:tcW w:w="1929" w:type="dxa"/>
            <w:shd w:val="clear" w:color="auto" w:fill="auto"/>
            <w:vAlign w:val="center"/>
          </w:tcPr>
          <w:p w:rsidR="00403CD6" w:rsidRDefault="00E91A59">
            <w:pPr>
              <w:jc w:val="right"/>
              <w:rPr>
                <w:rFonts w:ascii="Times New Roman" w:hAnsi="Times New Roman" w:cs="Times New Roman"/>
                <w:sz w:val="18"/>
                <w:szCs w:val="18"/>
              </w:rPr>
            </w:pPr>
            <w:r w:rsidRPr="004E1CA6">
              <w:rPr>
                <w:rFonts w:ascii="Times New Roman" w:eastAsia="仿宋_GB2312" w:hAnsi="Times New Roman" w:cs="Times New Roman"/>
                <w:sz w:val="18"/>
                <w:szCs w:val="18"/>
              </w:rPr>
              <w:t xml:space="preserve">-176,278,564.86 </w:t>
            </w:r>
            <w:r>
              <w:rPr>
                <w:rFonts w:ascii="Times New Roman" w:eastAsia="仿宋_GB2312" w:hAnsi="Times New Roman" w:cs="Times New Roman"/>
                <w:sz w:val="18"/>
                <w:szCs w:val="18"/>
              </w:rPr>
              <w:t xml:space="preserve"> </w:t>
            </w:r>
          </w:p>
        </w:tc>
        <w:tc>
          <w:tcPr>
            <w:tcW w:w="1929" w:type="dxa"/>
            <w:shd w:val="clear" w:color="auto" w:fill="auto"/>
            <w:vAlign w:val="center"/>
          </w:tcPr>
          <w:p w:rsidR="00403CD6" w:rsidRDefault="00403CD6">
            <w:pPr>
              <w:jc w:val="right"/>
              <w:rPr>
                <w:rFonts w:ascii="Times New Roman" w:hAnsi="Times New Roman" w:cs="Times New Roman"/>
                <w:sz w:val="18"/>
                <w:szCs w:val="18"/>
              </w:rPr>
            </w:pPr>
          </w:p>
        </w:tc>
        <w:tc>
          <w:tcPr>
            <w:tcW w:w="1929" w:type="dxa"/>
            <w:shd w:val="clear" w:color="auto" w:fill="auto"/>
            <w:vAlign w:val="center"/>
          </w:tcPr>
          <w:p w:rsidR="00403CD6" w:rsidRDefault="00E91A59">
            <w:pPr>
              <w:jc w:val="right"/>
              <w:rPr>
                <w:rFonts w:ascii="Times New Roman" w:hAnsi="Times New Roman" w:cs="Times New Roman"/>
                <w:sz w:val="18"/>
                <w:szCs w:val="18"/>
              </w:rPr>
            </w:pPr>
            <w:r w:rsidRPr="004E1CA6">
              <w:rPr>
                <w:rFonts w:ascii="Times New Roman" w:eastAsia="仿宋_GB2312" w:hAnsi="Times New Roman" w:cs="Times New Roman"/>
                <w:sz w:val="18"/>
                <w:szCs w:val="18"/>
              </w:rPr>
              <w:t xml:space="preserve">1,404,432,439.55 </w:t>
            </w:r>
          </w:p>
        </w:tc>
      </w:tr>
    </w:tbl>
    <w:p w:rsidR="00403CD6" w:rsidRDefault="00E91A59">
      <w:pPr>
        <w:keepNext/>
        <w:keepLines/>
        <w:spacing w:before="300" w:after="300" w:line="280" w:lineRule="exact"/>
        <w:outlineLvl w:val="3"/>
        <w:rPr>
          <w:rFonts w:ascii="宋体" w:eastAsia="宋体" w:hAnsi="宋体" w:cs="宋体"/>
          <w:b/>
          <w:bCs/>
          <w:sz w:val="18"/>
          <w:szCs w:val="18"/>
        </w:rPr>
      </w:pPr>
      <w:r>
        <w:rPr>
          <w:rFonts w:ascii="宋体" w:eastAsia="宋体" w:hAnsi="宋体" w:cs="宋体" w:hint="eastAsia"/>
          <w:b/>
          <w:bCs/>
          <w:sz w:val="18"/>
          <w:szCs w:val="18"/>
        </w:rPr>
        <w:t>（3） 重要非全资子公司的主要财务信息</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10"/>
        <w:gridCol w:w="626"/>
        <w:gridCol w:w="626"/>
        <w:gridCol w:w="578"/>
        <w:gridCol w:w="700"/>
        <w:gridCol w:w="626"/>
        <w:gridCol w:w="741"/>
        <w:gridCol w:w="851"/>
        <w:gridCol w:w="849"/>
        <w:gridCol w:w="849"/>
        <w:gridCol w:w="849"/>
        <w:gridCol w:w="710"/>
        <w:gridCol w:w="878"/>
      </w:tblGrid>
      <w:tr w:rsidR="00403CD6">
        <w:trPr>
          <w:trHeight w:val="284"/>
        </w:trPr>
        <w:tc>
          <w:tcPr>
            <w:tcW w:w="418" w:type="pct"/>
            <w:vMerge w:val="restar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子公司名称</w:t>
            </w:r>
          </w:p>
        </w:tc>
        <w:tc>
          <w:tcPr>
            <w:tcW w:w="2010" w:type="pct"/>
            <w:gridSpan w:val="6"/>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2572" w:type="pct"/>
            <w:gridSpan w:val="6"/>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r>
      <w:tr w:rsidR="00403CD6">
        <w:trPr>
          <w:trHeight w:val="284"/>
        </w:trPr>
        <w:tc>
          <w:tcPr>
            <w:tcW w:w="418" w:type="pct"/>
            <w:vMerge/>
            <w:vAlign w:val="center"/>
          </w:tcPr>
          <w:p w:rsidR="00403CD6" w:rsidRDefault="00403CD6">
            <w:pPr>
              <w:widowControl/>
              <w:rPr>
                <w:rFonts w:ascii="宋体" w:eastAsia="宋体" w:hAnsi="宋体" w:cs="宋体"/>
                <w:sz w:val="18"/>
                <w:szCs w:val="18"/>
              </w:rPr>
            </w:pPr>
          </w:p>
        </w:tc>
        <w:tc>
          <w:tcPr>
            <w:tcW w:w="323"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流动资产</w:t>
            </w:r>
          </w:p>
        </w:tc>
        <w:tc>
          <w:tcPr>
            <w:tcW w:w="323"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非流动资产</w:t>
            </w:r>
          </w:p>
        </w:tc>
        <w:tc>
          <w:tcPr>
            <w:tcW w:w="29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资产合计</w:t>
            </w:r>
          </w:p>
        </w:tc>
        <w:tc>
          <w:tcPr>
            <w:tcW w:w="361"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流动负债</w:t>
            </w:r>
          </w:p>
        </w:tc>
        <w:tc>
          <w:tcPr>
            <w:tcW w:w="323"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非流动负债</w:t>
            </w:r>
          </w:p>
        </w:tc>
        <w:tc>
          <w:tcPr>
            <w:tcW w:w="382"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负债合计</w:t>
            </w:r>
          </w:p>
        </w:tc>
        <w:tc>
          <w:tcPr>
            <w:tcW w:w="43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流动资产</w:t>
            </w:r>
          </w:p>
        </w:tc>
        <w:tc>
          <w:tcPr>
            <w:tcW w:w="43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非流动资产</w:t>
            </w:r>
          </w:p>
        </w:tc>
        <w:tc>
          <w:tcPr>
            <w:tcW w:w="43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资产合计</w:t>
            </w:r>
          </w:p>
        </w:tc>
        <w:tc>
          <w:tcPr>
            <w:tcW w:w="43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流动负债</w:t>
            </w:r>
          </w:p>
        </w:tc>
        <w:tc>
          <w:tcPr>
            <w:tcW w:w="366"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非流动负债</w:t>
            </w:r>
          </w:p>
        </w:tc>
        <w:tc>
          <w:tcPr>
            <w:tcW w:w="453"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负债合计</w:t>
            </w:r>
          </w:p>
        </w:tc>
      </w:tr>
      <w:tr w:rsidR="00403CD6">
        <w:trPr>
          <w:trHeight w:val="284"/>
        </w:trPr>
        <w:tc>
          <w:tcPr>
            <w:tcW w:w="418"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bCs/>
                <w:sz w:val="18"/>
                <w:szCs w:val="18"/>
              </w:rPr>
              <w:t>寿光美伦纸业有限责任公司</w:t>
            </w: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10,198,457,312.12</w:t>
            </w:r>
          </w:p>
        </w:tc>
        <w:tc>
          <w:tcPr>
            <w:tcW w:w="323"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9,544,065,823.56</w:t>
            </w:r>
          </w:p>
        </w:tc>
        <w:tc>
          <w:tcPr>
            <w:tcW w:w="298"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19,742,523,135.68</w:t>
            </w:r>
          </w:p>
        </w:tc>
        <w:tc>
          <w:tcPr>
            <w:tcW w:w="36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12,006,315,839.27</w:t>
            </w:r>
          </w:p>
        </w:tc>
        <w:tc>
          <w:tcPr>
            <w:tcW w:w="32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7,392,419.69</w:t>
            </w:r>
          </w:p>
        </w:tc>
        <w:tc>
          <w:tcPr>
            <w:tcW w:w="38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12,013,708,258.96</w:t>
            </w:r>
          </w:p>
        </w:tc>
        <w:tc>
          <w:tcPr>
            <w:tcW w:w="43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5,534,633,307.08</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10,096,140,872.04</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15,630,774,179.12</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6,282,312,497.46</w:t>
            </w:r>
          </w:p>
        </w:tc>
        <w:tc>
          <w:tcPr>
            <w:tcW w:w="3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888,031,988.48</w:t>
            </w:r>
          </w:p>
        </w:tc>
        <w:tc>
          <w:tcPr>
            <w:tcW w:w="4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7,170,344,485.94</w:t>
            </w:r>
          </w:p>
        </w:tc>
      </w:tr>
      <w:tr w:rsidR="00403CD6">
        <w:trPr>
          <w:trHeight w:val="284"/>
        </w:trPr>
        <w:tc>
          <w:tcPr>
            <w:tcW w:w="418"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bCs/>
                <w:sz w:val="18"/>
                <w:szCs w:val="18"/>
              </w:rPr>
              <w:t>湛江晨鸣浆纸有限公司</w:t>
            </w:r>
          </w:p>
        </w:tc>
        <w:tc>
          <w:tcPr>
            <w:tcW w:w="323"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8,429,523,936.97</w:t>
            </w:r>
          </w:p>
        </w:tc>
        <w:tc>
          <w:tcPr>
            <w:tcW w:w="323"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sidRPr="004E1CA6">
              <w:rPr>
                <w:rFonts w:ascii="Times New Roman" w:eastAsia="仿宋_GB2312" w:hAnsi="Times New Roman" w:cs="Times New Roman"/>
                <w:sz w:val="18"/>
                <w:szCs w:val="18"/>
              </w:rPr>
              <w:t xml:space="preserve">11,986,351,774.32 </w:t>
            </w:r>
          </w:p>
        </w:tc>
        <w:tc>
          <w:tcPr>
            <w:tcW w:w="298"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sidRPr="004E1CA6">
              <w:rPr>
                <w:rFonts w:ascii="Times New Roman" w:eastAsia="仿宋_GB2312" w:hAnsi="Times New Roman" w:cs="Times New Roman"/>
                <w:sz w:val="18"/>
                <w:szCs w:val="18"/>
              </w:rPr>
              <w:t xml:space="preserve">20,415,875,711.29 </w:t>
            </w:r>
            <w:r>
              <w:rPr>
                <w:rFonts w:ascii="Times New Roman" w:eastAsia="仿宋_GB2312" w:hAnsi="Times New Roman" w:cs="Times New Roman"/>
                <w:sz w:val="18"/>
                <w:szCs w:val="18"/>
              </w:rPr>
              <w:t xml:space="preserve"> </w:t>
            </w:r>
          </w:p>
        </w:tc>
        <w:tc>
          <w:tcPr>
            <w:tcW w:w="361" w:type="pct"/>
            <w:shd w:val="clear" w:color="auto" w:fill="auto"/>
            <w:vAlign w:val="center"/>
          </w:tcPr>
          <w:p w:rsidR="00403CD6" w:rsidRDefault="00E91A59">
            <w:pPr>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 xml:space="preserve">11,877,878,416.94 </w:t>
            </w:r>
            <w:r>
              <w:rPr>
                <w:rFonts w:ascii="Times New Roman" w:eastAsia="仿宋_GB2312" w:hAnsi="Times New Roman" w:cs="Times New Roman"/>
                <w:sz w:val="18"/>
                <w:szCs w:val="18"/>
              </w:rPr>
              <w:t xml:space="preserve"> </w:t>
            </w:r>
          </w:p>
        </w:tc>
        <w:tc>
          <w:tcPr>
            <w:tcW w:w="323" w:type="pct"/>
            <w:shd w:val="clear" w:color="auto" w:fill="auto"/>
            <w:vAlign w:val="center"/>
          </w:tcPr>
          <w:p w:rsidR="00403CD6" w:rsidRDefault="00E91A59">
            <w:pPr>
              <w:spacing w:before="100" w:beforeAutospacing="1" w:after="100" w:afterAutospacing="1"/>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 xml:space="preserve">473,681,057.41 </w:t>
            </w:r>
          </w:p>
        </w:tc>
        <w:tc>
          <w:tcPr>
            <w:tcW w:w="382" w:type="pct"/>
            <w:shd w:val="clear" w:color="auto" w:fill="auto"/>
            <w:vAlign w:val="center"/>
          </w:tcPr>
          <w:p w:rsidR="00403CD6" w:rsidRDefault="00E91A59">
            <w:pPr>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 xml:space="preserve">12,351,559,474.35 </w:t>
            </w:r>
            <w:r>
              <w:rPr>
                <w:rFonts w:ascii="Times New Roman" w:eastAsia="仿宋_GB2312" w:hAnsi="Times New Roman" w:cs="Times New Roman"/>
                <w:sz w:val="18"/>
                <w:szCs w:val="18"/>
              </w:rPr>
              <w:t xml:space="preserve"> </w:t>
            </w:r>
          </w:p>
        </w:tc>
        <w:tc>
          <w:tcPr>
            <w:tcW w:w="439" w:type="pct"/>
            <w:shd w:val="clear" w:color="auto" w:fill="auto"/>
            <w:vAlign w:val="center"/>
          </w:tcPr>
          <w:p w:rsidR="00403CD6" w:rsidRDefault="00E91A59">
            <w:pPr>
              <w:spacing w:before="100" w:beforeAutospacing="1" w:after="100" w:afterAutospacing="1"/>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12,562,782,806.69</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13,116,686,959.25</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25,679,469,765.94</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14,866,141,937.07</w:t>
            </w:r>
          </w:p>
        </w:tc>
        <w:tc>
          <w:tcPr>
            <w:tcW w:w="3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1,876,669,919.47</w:t>
            </w:r>
          </w:p>
        </w:tc>
        <w:tc>
          <w:tcPr>
            <w:tcW w:w="4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16,742,811,856.54</w:t>
            </w:r>
          </w:p>
        </w:tc>
      </w:tr>
    </w:tbl>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308"/>
        <w:gridCol w:w="851"/>
        <w:gridCol w:w="1276"/>
        <w:gridCol w:w="1276"/>
        <w:gridCol w:w="853"/>
        <w:gridCol w:w="849"/>
        <w:gridCol w:w="987"/>
        <w:gridCol w:w="1134"/>
        <w:gridCol w:w="1159"/>
      </w:tblGrid>
      <w:tr w:rsidR="00403CD6">
        <w:trPr>
          <w:trHeight w:val="284"/>
        </w:trPr>
        <w:tc>
          <w:tcPr>
            <w:tcW w:w="675" w:type="pct"/>
            <w:vMerge w:val="restar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子公司名称</w:t>
            </w:r>
          </w:p>
        </w:tc>
        <w:tc>
          <w:tcPr>
            <w:tcW w:w="2195" w:type="pct"/>
            <w:gridSpan w:val="4"/>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本期发生额</w:t>
            </w:r>
          </w:p>
        </w:tc>
        <w:tc>
          <w:tcPr>
            <w:tcW w:w="2130" w:type="pct"/>
            <w:gridSpan w:val="4"/>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上期发生额</w:t>
            </w:r>
          </w:p>
        </w:tc>
      </w:tr>
      <w:tr w:rsidR="00403CD6">
        <w:trPr>
          <w:trHeight w:val="284"/>
        </w:trPr>
        <w:tc>
          <w:tcPr>
            <w:tcW w:w="675" w:type="pct"/>
            <w:vMerge/>
            <w:vAlign w:val="center"/>
          </w:tcPr>
          <w:p w:rsidR="00403CD6" w:rsidRDefault="00403CD6">
            <w:pPr>
              <w:widowControl/>
              <w:rPr>
                <w:rFonts w:ascii="宋体" w:eastAsia="宋体" w:hAnsi="宋体" w:cs="宋体"/>
                <w:sz w:val="18"/>
                <w:szCs w:val="18"/>
              </w:rPr>
            </w:pPr>
          </w:p>
        </w:tc>
        <w:tc>
          <w:tcPr>
            <w:tcW w:w="43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营业收入</w:t>
            </w:r>
          </w:p>
        </w:tc>
        <w:tc>
          <w:tcPr>
            <w:tcW w:w="6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净利润</w:t>
            </w:r>
          </w:p>
        </w:tc>
        <w:tc>
          <w:tcPr>
            <w:tcW w:w="65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综合收益总额</w:t>
            </w:r>
          </w:p>
        </w:tc>
        <w:tc>
          <w:tcPr>
            <w:tcW w:w="44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经营活动现金流量</w:t>
            </w:r>
          </w:p>
        </w:tc>
        <w:tc>
          <w:tcPr>
            <w:tcW w:w="43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营业收入</w:t>
            </w:r>
          </w:p>
        </w:tc>
        <w:tc>
          <w:tcPr>
            <w:tcW w:w="50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净利润</w:t>
            </w:r>
          </w:p>
        </w:tc>
        <w:tc>
          <w:tcPr>
            <w:tcW w:w="585"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综合收益总额</w:t>
            </w:r>
          </w:p>
        </w:tc>
        <w:tc>
          <w:tcPr>
            <w:tcW w:w="59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经营活动现金流量</w:t>
            </w:r>
          </w:p>
        </w:tc>
      </w:tr>
      <w:tr w:rsidR="00403CD6">
        <w:trPr>
          <w:trHeight w:val="284"/>
        </w:trPr>
        <w:tc>
          <w:tcPr>
            <w:tcW w:w="675"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bCs/>
                <w:sz w:val="18"/>
                <w:szCs w:val="18"/>
              </w:rPr>
              <w:t>寿光美伦纸业有限责任公司</w:t>
            </w:r>
          </w:p>
        </w:tc>
        <w:tc>
          <w:tcPr>
            <w:tcW w:w="43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8,141,538,879.98</w:t>
            </w:r>
          </w:p>
        </w:tc>
        <w:tc>
          <w:tcPr>
            <w:tcW w:w="658"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 xml:space="preserve">-570,290,773.09 </w:t>
            </w:r>
          </w:p>
        </w:tc>
        <w:tc>
          <w:tcPr>
            <w:tcW w:w="658"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 xml:space="preserve">-570,290,773.09 </w:t>
            </w:r>
          </w:p>
        </w:tc>
        <w:tc>
          <w:tcPr>
            <w:tcW w:w="44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498,166,092.88</w:t>
            </w:r>
          </w:p>
        </w:tc>
        <w:tc>
          <w:tcPr>
            <w:tcW w:w="43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9,084,559,413.98</w:t>
            </w:r>
          </w:p>
        </w:tc>
        <w:tc>
          <w:tcPr>
            <w:tcW w:w="5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153,008,366.72</w:t>
            </w:r>
          </w:p>
        </w:tc>
        <w:tc>
          <w:tcPr>
            <w:tcW w:w="58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153,008,366.72</w:t>
            </w:r>
          </w:p>
        </w:tc>
        <w:tc>
          <w:tcPr>
            <w:tcW w:w="59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1,528,677,090.76</w:t>
            </w:r>
          </w:p>
        </w:tc>
      </w:tr>
      <w:tr w:rsidR="002967A9">
        <w:trPr>
          <w:trHeight w:val="284"/>
        </w:trPr>
        <w:tc>
          <w:tcPr>
            <w:tcW w:w="675" w:type="pct"/>
            <w:shd w:val="clear" w:color="auto" w:fill="auto"/>
            <w:vAlign w:val="center"/>
          </w:tcPr>
          <w:p w:rsidR="002967A9" w:rsidRDefault="002967A9">
            <w:pPr>
              <w:rPr>
                <w:rFonts w:asciiTheme="minorEastAsia" w:hAnsiTheme="minorEastAsia" w:cstheme="minorEastAsia"/>
                <w:sz w:val="18"/>
                <w:szCs w:val="18"/>
              </w:rPr>
            </w:pPr>
            <w:r>
              <w:rPr>
                <w:rFonts w:asciiTheme="minorEastAsia" w:hAnsiTheme="minorEastAsia" w:cstheme="minorEastAsia" w:hint="eastAsia"/>
                <w:bCs/>
                <w:sz w:val="18"/>
                <w:szCs w:val="18"/>
              </w:rPr>
              <w:t>湛江晨鸣浆纸有限公司</w:t>
            </w:r>
          </w:p>
        </w:tc>
        <w:tc>
          <w:tcPr>
            <w:tcW w:w="439" w:type="pct"/>
            <w:shd w:val="clear" w:color="auto" w:fill="auto"/>
            <w:vAlign w:val="center"/>
          </w:tcPr>
          <w:p w:rsidR="002967A9" w:rsidRDefault="002967A9">
            <w:pPr>
              <w:jc w:val="right"/>
              <w:rPr>
                <w:rFonts w:ascii="Times New Roman" w:hAnsi="Times New Roman" w:cs="Times New Roman"/>
                <w:sz w:val="18"/>
                <w:szCs w:val="18"/>
              </w:rPr>
            </w:pPr>
            <w:r>
              <w:rPr>
                <w:rFonts w:ascii="Times New Roman" w:hAnsi="Times New Roman" w:cs="Times New Roman"/>
                <w:sz w:val="18"/>
                <w:szCs w:val="18"/>
              </w:rPr>
              <w:t>10,918,531,151.42</w:t>
            </w:r>
          </w:p>
        </w:tc>
        <w:tc>
          <w:tcPr>
            <w:tcW w:w="658" w:type="pct"/>
            <w:shd w:val="clear" w:color="auto" w:fill="auto"/>
            <w:vAlign w:val="center"/>
          </w:tcPr>
          <w:p w:rsidR="002967A9" w:rsidRDefault="002967A9">
            <w:pPr>
              <w:spacing w:before="100" w:beforeAutospacing="1" w:after="100" w:afterAutospacing="1"/>
              <w:jc w:val="right"/>
              <w:rPr>
                <w:rFonts w:ascii="Times New Roman" w:hAnsi="Times New Roman" w:cs="Times New Roman"/>
                <w:sz w:val="18"/>
                <w:szCs w:val="18"/>
              </w:rPr>
            </w:pPr>
            <w:r w:rsidRPr="004E1CA6">
              <w:rPr>
                <w:rFonts w:ascii="Times New Roman" w:eastAsia="仿宋_GB2312" w:hAnsi="Times New Roman" w:cs="Times New Roman"/>
                <w:sz w:val="18"/>
                <w:szCs w:val="18"/>
              </w:rPr>
              <w:t xml:space="preserve">-883,547,814.00 </w:t>
            </w:r>
            <w:r>
              <w:rPr>
                <w:rFonts w:ascii="Times New Roman" w:eastAsia="仿宋_GB2312" w:hAnsi="Times New Roman" w:cs="Times New Roman"/>
                <w:sz w:val="18"/>
                <w:szCs w:val="18"/>
              </w:rPr>
              <w:t xml:space="preserve"> </w:t>
            </w:r>
          </w:p>
        </w:tc>
        <w:tc>
          <w:tcPr>
            <w:tcW w:w="658" w:type="pct"/>
            <w:shd w:val="clear" w:color="auto" w:fill="auto"/>
            <w:vAlign w:val="center"/>
          </w:tcPr>
          <w:p w:rsidR="002967A9" w:rsidRPr="004E1CA6" w:rsidRDefault="002967A9">
            <w:pPr>
              <w:spacing w:before="100" w:beforeAutospacing="1" w:after="100" w:afterAutospacing="1"/>
              <w:jc w:val="right"/>
              <w:rPr>
                <w:rFonts w:ascii="Times New Roman" w:eastAsia="仿宋_GB2312" w:hAnsi="Times New Roman" w:cs="Times New Roman"/>
                <w:sz w:val="18"/>
                <w:szCs w:val="18"/>
              </w:rPr>
            </w:pPr>
            <w:r w:rsidRPr="004E1CA6">
              <w:rPr>
                <w:rFonts w:ascii="Times New Roman" w:eastAsia="仿宋_GB2312" w:hAnsi="Times New Roman" w:cs="Times New Roman"/>
                <w:sz w:val="18"/>
                <w:szCs w:val="18"/>
              </w:rPr>
              <w:t xml:space="preserve">-877,177,341.17 </w:t>
            </w:r>
          </w:p>
        </w:tc>
        <w:tc>
          <w:tcPr>
            <w:tcW w:w="440" w:type="pct"/>
            <w:shd w:val="clear" w:color="auto" w:fill="auto"/>
            <w:vAlign w:val="center"/>
          </w:tcPr>
          <w:p w:rsidR="002967A9" w:rsidRDefault="002967A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349,194,411.81</w:t>
            </w:r>
          </w:p>
        </w:tc>
        <w:tc>
          <w:tcPr>
            <w:tcW w:w="438" w:type="pct"/>
            <w:shd w:val="clear" w:color="auto" w:fill="auto"/>
            <w:vAlign w:val="center"/>
          </w:tcPr>
          <w:p w:rsidR="002967A9" w:rsidRDefault="002967A9">
            <w:pPr>
              <w:jc w:val="right"/>
              <w:rPr>
                <w:rFonts w:ascii="Times New Roman" w:hAnsi="Times New Roman" w:cs="Times New Roman"/>
                <w:sz w:val="18"/>
                <w:szCs w:val="18"/>
              </w:rPr>
            </w:pPr>
            <w:r>
              <w:rPr>
                <w:rFonts w:ascii="Times New Roman" w:hAnsi="Times New Roman" w:cs="Times New Roman"/>
                <w:sz w:val="18"/>
                <w:szCs w:val="18"/>
              </w:rPr>
              <w:t>11,000,808,231.98</w:t>
            </w:r>
          </w:p>
        </w:tc>
        <w:tc>
          <w:tcPr>
            <w:tcW w:w="509" w:type="pct"/>
            <w:shd w:val="clear" w:color="auto" w:fill="auto"/>
            <w:vAlign w:val="center"/>
          </w:tcPr>
          <w:p w:rsidR="002967A9" w:rsidRDefault="002967A9">
            <w:pPr>
              <w:jc w:val="right"/>
              <w:rPr>
                <w:rFonts w:ascii="Times New Roman" w:hAnsi="Times New Roman" w:cs="Times New Roman"/>
                <w:sz w:val="18"/>
                <w:szCs w:val="18"/>
              </w:rPr>
            </w:pPr>
            <w:r>
              <w:rPr>
                <w:rFonts w:ascii="Times New Roman" w:hAnsi="Times New Roman" w:cs="Times New Roman"/>
                <w:sz w:val="18"/>
                <w:szCs w:val="18"/>
              </w:rPr>
              <w:t>-541,888,245.61</w:t>
            </w:r>
          </w:p>
        </w:tc>
        <w:tc>
          <w:tcPr>
            <w:tcW w:w="585" w:type="pct"/>
            <w:shd w:val="clear" w:color="auto" w:fill="auto"/>
            <w:vAlign w:val="center"/>
          </w:tcPr>
          <w:p w:rsidR="002967A9" w:rsidRDefault="002967A9">
            <w:pPr>
              <w:jc w:val="right"/>
              <w:rPr>
                <w:rFonts w:ascii="Times New Roman" w:hAnsi="Times New Roman" w:cs="Times New Roman"/>
                <w:sz w:val="18"/>
                <w:szCs w:val="18"/>
              </w:rPr>
            </w:pPr>
            <w:r>
              <w:rPr>
                <w:rFonts w:ascii="Times New Roman" w:hAnsi="Times New Roman" w:cs="Times New Roman"/>
                <w:sz w:val="18"/>
                <w:szCs w:val="18"/>
              </w:rPr>
              <w:t>-543,112,252.63</w:t>
            </w:r>
          </w:p>
        </w:tc>
        <w:tc>
          <w:tcPr>
            <w:tcW w:w="598" w:type="pct"/>
            <w:shd w:val="clear" w:color="auto" w:fill="auto"/>
            <w:vAlign w:val="center"/>
          </w:tcPr>
          <w:p w:rsidR="002967A9" w:rsidRDefault="002967A9">
            <w:pPr>
              <w:jc w:val="right"/>
              <w:rPr>
                <w:rFonts w:ascii="Times New Roman" w:hAnsi="Times New Roman" w:cs="Times New Roman"/>
                <w:sz w:val="18"/>
                <w:szCs w:val="18"/>
              </w:rPr>
            </w:pPr>
            <w:r>
              <w:rPr>
                <w:rFonts w:ascii="Times New Roman" w:hAnsi="Times New Roman" w:cs="Times New Roman"/>
                <w:sz w:val="18"/>
                <w:szCs w:val="18"/>
              </w:rPr>
              <w:t>1,332,553,432.65</w:t>
            </w: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2、在子公司的所有者权益份额发生变化且仍控制子公司的交易</w:t>
      </w:r>
    </w:p>
    <w:p w:rsidR="00403CD6" w:rsidRDefault="00E91A59">
      <w:pPr>
        <w:keepNext/>
        <w:keepLines/>
        <w:spacing w:before="300" w:after="300" w:line="280" w:lineRule="exact"/>
        <w:outlineLvl w:val="3"/>
        <w:rPr>
          <w:rFonts w:ascii="宋体" w:eastAsia="宋体" w:hAnsi="宋体" w:cs="宋体"/>
          <w:b/>
          <w:bCs/>
          <w:sz w:val="18"/>
          <w:szCs w:val="18"/>
        </w:rPr>
      </w:pPr>
      <w:bookmarkStart w:id="124" w:name="_Toc989442"/>
      <w:r>
        <w:rPr>
          <w:rFonts w:ascii="宋体" w:eastAsia="宋体" w:hAnsi="宋体" w:cs="宋体" w:hint="eastAsia"/>
          <w:b/>
          <w:bCs/>
          <w:sz w:val="18"/>
          <w:szCs w:val="18"/>
        </w:rPr>
        <w:t>（1） 在子公司所有者权益份额发生变化的情况说明</w:t>
      </w:r>
      <w:bookmarkEnd w:id="124"/>
    </w:p>
    <w:p w:rsidR="00403CD6" w:rsidRDefault="00E91A59">
      <w:pPr>
        <w:adjustRightInd w:val="0"/>
        <w:snapToGrid w:val="0"/>
        <w:spacing w:afterLines="90" w:after="280"/>
        <w:ind w:firstLineChars="200" w:firstLine="360"/>
        <w:rPr>
          <w:rFonts w:ascii="Times New Roman" w:hAnsi="Times New Roman" w:cs="Times New Roman"/>
          <w:sz w:val="18"/>
          <w:szCs w:val="18"/>
        </w:rPr>
      </w:pPr>
      <w:r>
        <w:rPr>
          <w:rFonts w:ascii="Times New Roman" w:hAnsi="Times New Roman" w:cs="Times New Roman"/>
          <w:kern w:val="0"/>
          <w:sz w:val="18"/>
          <w:szCs w:val="18"/>
        </w:rPr>
        <w:t>本公司原持有寿光美伦纸业有限公司</w:t>
      </w:r>
      <w:r>
        <w:rPr>
          <w:rFonts w:ascii="Times New Roman" w:hAnsi="Times New Roman" w:cs="Times New Roman"/>
          <w:kern w:val="0"/>
          <w:sz w:val="18"/>
          <w:szCs w:val="18"/>
        </w:rPr>
        <w:t>64.87%</w:t>
      </w:r>
      <w:r>
        <w:rPr>
          <w:rFonts w:ascii="Times New Roman" w:hAnsi="Times New Roman" w:cs="Times New Roman"/>
          <w:kern w:val="0"/>
          <w:sz w:val="18"/>
          <w:szCs w:val="18"/>
        </w:rPr>
        <w:t>股权，</w:t>
      </w:r>
      <w:r>
        <w:rPr>
          <w:rFonts w:ascii="Times New Roman" w:hAnsi="Times New Roman" w:cs="Times New Roman"/>
          <w:kern w:val="0"/>
          <w:sz w:val="18"/>
          <w:szCs w:val="18"/>
        </w:rPr>
        <w:t>2024</w:t>
      </w:r>
      <w:r>
        <w:rPr>
          <w:rFonts w:ascii="Times New Roman" w:hAnsi="Times New Roman" w:cs="Times New Roman"/>
          <w:kern w:val="0"/>
          <w:sz w:val="18"/>
          <w:szCs w:val="18"/>
        </w:rPr>
        <w:t>年本公司与东兴证券投资有限公司和</w:t>
      </w:r>
      <w:proofErr w:type="gramStart"/>
      <w:r>
        <w:rPr>
          <w:rFonts w:ascii="Times New Roman" w:hAnsi="Times New Roman" w:cs="Times New Roman"/>
          <w:kern w:val="0"/>
          <w:sz w:val="18"/>
          <w:szCs w:val="18"/>
        </w:rPr>
        <w:t>西证创新</w:t>
      </w:r>
      <w:proofErr w:type="gramEnd"/>
      <w:r>
        <w:rPr>
          <w:rFonts w:ascii="Times New Roman" w:hAnsi="Times New Roman" w:cs="Times New Roman"/>
          <w:kern w:val="0"/>
          <w:sz w:val="18"/>
          <w:szCs w:val="18"/>
        </w:rPr>
        <w:t>投资有限公司签订股权转让协议，合计向本公司转让持有寿光美伦纸业有限公司</w:t>
      </w:r>
      <w:r>
        <w:rPr>
          <w:rFonts w:ascii="Times New Roman" w:hAnsi="Times New Roman" w:cs="Times New Roman"/>
          <w:kern w:val="0"/>
          <w:sz w:val="18"/>
          <w:szCs w:val="18"/>
        </w:rPr>
        <w:t>3.41%</w:t>
      </w:r>
      <w:r>
        <w:rPr>
          <w:rFonts w:ascii="Times New Roman" w:hAnsi="Times New Roman" w:cs="Times New Roman"/>
          <w:kern w:val="0"/>
          <w:sz w:val="18"/>
          <w:szCs w:val="18"/>
        </w:rPr>
        <w:t>的股权，该股权转让交易未导致本公司丧失对寿光美伦纸业有限公司的控制权。截至</w:t>
      </w:r>
      <w:r>
        <w:rPr>
          <w:rFonts w:ascii="Times New Roman" w:hAnsi="Times New Roman" w:cs="Times New Roman"/>
          <w:kern w:val="0"/>
          <w:sz w:val="18"/>
          <w:szCs w:val="18"/>
        </w:rPr>
        <w:t>2024</w:t>
      </w:r>
      <w:r>
        <w:rPr>
          <w:rFonts w:ascii="Times New Roman" w:hAnsi="Times New Roman" w:cs="Times New Roman"/>
          <w:kern w:val="0"/>
          <w:sz w:val="18"/>
          <w:szCs w:val="18"/>
        </w:rPr>
        <w:t>年</w:t>
      </w:r>
      <w:r>
        <w:rPr>
          <w:rFonts w:ascii="Times New Roman" w:hAnsi="Times New Roman" w:cs="Times New Roman"/>
          <w:kern w:val="0"/>
          <w:sz w:val="18"/>
          <w:szCs w:val="18"/>
        </w:rPr>
        <w:t>6</w:t>
      </w:r>
      <w:r>
        <w:rPr>
          <w:rFonts w:ascii="Times New Roman" w:hAnsi="Times New Roman" w:cs="Times New Roman"/>
          <w:kern w:val="0"/>
          <w:sz w:val="18"/>
          <w:szCs w:val="18"/>
        </w:rPr>
        <w:t>月</w:t>
      </w:r>
      <w:r>
        <w:rPr>
          <w:rFonts w:ascii="Times New Roman" w:hAnsi="Times New Roman" w:cs="Times New Roman"/>
          <w:kern w:val="0"/>
          <w:sz w:val="18"/>
          <w:szCs w:val="18"/>
        </w:rPr>
        <w:t>30</w:t>
      </w:r>
      <w:r>
        <w:rPr>
          <w:rFonts w:ascii="Times New Roman" w:hAnsi="Times New Roman" w:cs="Times New Roman"/>
          <w:kern w:val="0"/>
          <w:sz w:val="18"/>
          <w:szCs w:val="18"/>
        </w:rPr>
        <w:t>日，股权转让协议已履行完毕，合计支付交易对价为</w:t>
      </w:r>
      <w:r>
        <w:rPr>
          <w:rFonts w:ascii="Times New Roman" w:hAnsi="Times New Roman" w:cs="Times New Roman"/>
          <w:kern w:val="0"/>
          <w:sz w:val="18"/>
          <w:szCs w:val="18"/>
        </w:rPr>
        <w:t>30000</w:t>
      </w:r>
      <w:r>
        <w:rPr>
          <w:rFonts w:ascii="Times New Roman" w:hAnsi="Times New Roman" w:cs="Times New Roman"/>
          <w:kern w:val="0"/>
          <w:sz w:val="18"/>
          <w:szCs w:val="18"/>
        </w:rPr>
        <w:t>万元，该项交易导致少数股东权益减少</w:t>
      </w:r>
      <w:r>
        <w:rPr>
          <w:rFonts w:ascii="Times New Roman" w:hAnsi="Times New Roman" w:cs="Times New Roman"/>
          <w:kern w:val="0"/>
          <w:sz w:val="18"/>
          <w:szCs w:val="18"/>
        </w:rPr>
        <w:t xml:space="preserve"> 29,004.24 </w:t>
      </w:r>
      <w:r>
        <w:rPr>
          <w:rFonts w:ascii="Times New Roman" w:hAnsi="Times New Roman" w:cs="Times New Roman"/>
          <w:kern w:val="0"/>
          <w:sz w:val="18"/>
          <w:szCs w:val="18"/>
        </w:rPr>
        <w:t>万元，资本公积减少</w:t>
      </w:r>
      <w:r>
        <w:rPr>
          <w:rFonts w:ascii="Times New Roman" w:hAnsi="Times New Roman" w:cs="Times New Roman"/>
          <w:kern w:val="0"/>
          <w:sz w:val="18"/>
          <w:szCs w:val="18"/>
        </w:rPr>
        <w:t>995.76</w:t>
      </w:r>
      <w:r>
        <w:rPr>
          <w:rFonts w:ascii="Times New Roman" w:hAnsi="Times New Roman" w:cs="Times New Roman"/>
          <w:kern w:val="0"/>
          <w:sz w:val="18"/>
          <w:szCs w:val="18"/>
        </w:rPr>
        <w:t>万元。</w:t>
      </w:r>
    </w:p>
    <w:p w:rsidR="00403CD6" w:rsidRDefault="00E91A59">
      <w:pPr>
        <w:keepNext/>
        <w:keepLines/>
        <w:spacing w:before="300" w:after="300" w:line="280" w:lineRule="exact"/>
        <w:outlineLvl w:val="3"/>
        <w:rPr>
          <w:rFonts w:ascii="宋体" w:eastAsia="宋体" w:hAnsi="宋体" w:cs="宋体"/>
          <w:b/>
          <w:bCs/>
          <w:sz w:val="18"/>
          <w:szCs w:val="18"/>
        </w:rPr>
      </w:pPr>
      <w:bookmarkStart w:id="125" w:name="_Toc989443"/>
      <w:r>
        <w:rPr>
          <w:rFonts w:ascii="宋体" w:eastAsia="宋体" w:hAnsi="宋体" w:cs="宋体" w:hint="eastAsia"/>
          <w:b/>
          <w:bCs/>
          <w:sz w:val="18"/>
          <w:szCs w:val="18"/>
        </w:rPr>
        <w:t>（2） 交易对于少数股东权益及归属于母公司所有者权益的影响</w:t>
      </w:r>
      <w:bookmarkEnd w:id="125"/>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gridCol w:w="4928"/>
      </w:tblGrid>
      <w:tr w:rsidR="00403CD6">
        <w:trPr>
          <w:trHeight w:val="284"/>
        </w:trPr>
        <w:tc>
          <w:tcPr>
            <w:tcW w:w="2499" w:type="pct"/>
            <w:shd w:val="clear" w:color="auto" w:fill="D3D3D3"/>
            <w:vAlign w:val="center"/>
          </w:tcPr>
          <w:p w:rsidR="00403CD6" w:rsidRDefault="00E91A59">
            <w:pPr>
              <w:jc w:val="center"/>
              <w:rPr>
                <w:rFonts w:ascii="宋体" w:eastAsia="宋体" w:hAnsi="宋体" w:cs="Times New Roman"/>
                <w:sz w:val="18"/>
                <w:szCs w:val="18"/>
              </w:rPr>
            </w:pPr>
            <w:r>
              <w:rPr>
                <w:rFonts w:ascii="宋体" w:eastAsia="宋体" w:hAnsi="宋体" w:cs="Times New Roman" w:hint="eastAsia"/>
                <w:sz w:val="18"/>
                <w:szCs w:val="18"/>
              </w:rPr>
              <w:t>项目</w:t>
            </w:r>
          </w:p>
        </w:tc>
        <w:tc>
          <w:tcPr>
            <w:tcW w:w="2500" w:type="pct"/>
            <w:shd w:val="clear" w:color="auto" w:fill="auto"/>
            <w:vAlign w:val="center"/>
          </w:tcPr>
          <w:p w:rsidR="00403CD6" w:rsidRDefault="00E91A59">
            <w:pPr>
              <w:spacing w:line="240" w:lineRule="exact"/>
              <w:jc w:val="center"/>
              <w:rPr>
                <w:rFonts w:ascii="宋体" w:eastAsia="宋体" w:hAnsi="宋体" w:cs="Times New Roman"/>
                <w:sz w:val="18"/>
                <w:szCs w:val="18"/>
              </w:rPr>
            </w:pPr>
            <w:r>
              <w:rPr>
                <w:rFonts w:ascii="宋体" w:eastAsia="宋体" w:hAnsi="宋体" w:hint="eastAsia"/>
                <w:sz w:val="18"/>
                <w:szCs w:val="18"/>
              </w:rPr>
              <w:t>寿光美伦纸业有限公司</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购买成本/处置对价</w:t>
            </w:r>
          </w:p>
        </w:tc>
        <w:tc>
          <w:tcPr>
            <w:tcW w:w="2500" w:type="pct"/>
            <w:shd w:val="clear" w:color="auto" w:fill="auto"/>
            <w:vAlign w:val="center"/>
          </w:tcPr>
          <w:p w:rsidR="00403CD6" w:rsidRDefault="00E91A59">
            <w:pPr>
              <w:jc w:val="right"/>
              <w:rPr>
                <w:rFonts w:ascii="Times New Roman" w:eastAsia="仿宋_GB2312" w:hAnsi="Times New Roman" w:cs="Times New Roman"/>
                <w:color w:val="000000"/>
                <w:sz w:val="18"/>
                <w:szCs w:val="18"/>
              </w:rPr>
            </w:pPr>
            <w:r>
              <w:rPr>
                <w:rFonts w:ascii="Times New Roman" w:eastAsia="仿宋_GB2312" w:hAnsi="Times New Roman" w:cs="Times New Roman"/>
                <w:color w:val="000000"/>
                <w:sz w:val="18"/>
                <w:szCs w:val="18"/>
              </w:rPr>
              <w:t>300,000,000.00</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--现金</w:t>
            </w:r>
          </w:p>
        </w:tc>
        <w:tc>
          <w:tcPr>
            <w:tcW w:w="25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color w:val="000000"/>
                <w:sz w:val="18"/>
                <w:szCs w:val="18"/>
              </w:rPr>
              <w:t>300,000,000.00</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购买成本/处置对价合计</w:t>
            </w:r>
          </w:p>
        </w:tc>
        <w:tc>
          <w:tcPr>
            <w:tcW w:w="25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color w:val="000000"/>
                <w:sz w:val="18"/>
                <w:szCs w:val="18"/>
              </w:rPr>
              <w:t>300,000,000.00</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减：按取得/处置的股权比例计算的子公司净资产份额</w:t>
            </w:r>
          </w:p>
        </w:tc>
        <w:tc>
          <w:tcPr>
            <w:tcW w:w="25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290,042,380.45</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差额</w:t>
            </w:r>
          </w:p>
        </w:tc>
        <w:tc>
          <w:tcPr>
            <w:tcW w:w="25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9,957,619.55</w:t>
            </w:r>
          </w:p>
        </w:tc>
      </w:tr>
      <w:tr w:rsidR="00403CD6">
        <w:trPr>
          <w:trHeight w:val="284"/>
        </w:trPr>
        <w:tc>
          <w:tcPr>
            <w:tcW w:w="2499" w:type="pct"/>
            <w:shd w:val="clear" w:color="auto" w:fill="D8D8D8" w:themeFill="background1" w:themeFillShade="D8"/>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其中：调整资本公积</w:t>
            </w:r>
          </w:p>
        </w:tc>
        <w:tc>
          <w:tcPr>
            <w:tcW w:w="2500"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9,957,619.55</w:t>
            </w:r>
          </w:p>
        </w:tc>
      </w:tr>
    </w:tbl>
    <w:p w:rsidR="00403CD6" w:rsidRDefault="00403CD6">
      <w:pPr>
        <w:spacing w:before="100" w:after="100" w:line="240" w:lineRule="exact"/>
        <w:rPr>
          <w:rFonts w:ascii="宋体" w:eastAsia="宋体" w:hAnsi="宋体" w:cs="宋体"/>
          <w:sz w:val="18"/>
          <w:szCs w:val="18"/>
        </w:rPr>
      </w:pPr>
    </w:p>
    <w:p w:rsidR="00403CD6" w:rsidRDefault="00E91A59">
      <w:pPr>
        <w:keepNext/>
        <w:keepLines/>
        <w:spacing w:before="300" w:after="300" w:line="280" w:lineRule="exact"/>
        <w:outlineLvl w:val="2"/>
        <w:rPr>
          <w:rFonts w:ascii="宋体" w:eastAsia="宋体" w:hAnsi="宋体" w:cs="宋体"/>
          <w:b/>
          <w:bCs/>
          <w:szCs w:val="21"/>
        </w:rPr>
      </w:pPr>
      <w:bookmarkStart w:id="126" w:name="_Toc989444"/>
      <w:r>
        <w:rPr>
          <w:rFonts w:ascii="宋体" w:eastAsia="宋体" w:hAnsi="宋体" w:cs="宋体" w:hint="eastAsia"/>
          <w:b/>
          <w:bCs/>
          <w:szCs w:val="21"/>
        </w:rPr>
        <w:lastRenderedPageBreak/>
        <w:t>3、在合营安排或联营企业中的权益</w:t>
      </w:r>
      <w:bookmarkEnd w:id="126"/>
    </w:p>
    <w:p w:rsidR="00403CD6" w:rsidRDefault="00E91A59">
      <w:pPr>
        <w:keepNext/>
        <w:keepLines/>
        <w:spacing w:before="300" w:after="300" w:line="280" w:lineRule="exact"/>
        <w:outlineLvl w:val="3"/>
        <w:rPr>
          <w:rFonts w:ascii="宋体" w:eastAsia="宋体" w:hAnsi="宋体" w:cs="宋体"/>
          <w:b/>
          <w:bCs/>
          <w:szCs w:val="21"/>
        </w:rPr>
      </w:pPr>
      <w:bookmarkStart w:id="127" w:name="_Toc989445"/>
      <w:r>
        <w:rPr>
          <w:rFonts w:ascii="宋体" w:eastAsia="宋体" w:hAnsi="宋体" w:cs="宋体" w:hint="eastAsia"/>
          <w:b/>
          <w:bCs/>
          <w:szCs w:val="21"/>
        </w:rPr>
        <w:t>（1） 重要的合营企业或联营企业</w:t>
      </w:r>
      <w:bookmarkEnd w:id="127"/>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593"/>
        <w:gridCol w:w="686"/>
        <w:gridCol w:w="710"/>
        <w:gridCol w:w="566"/>
        <w:gridCol w:w="993"/>
        <w:gridCol w:w="1088"/>
        <w:gridCol w:w="2057"/>
      </w:tblGrid>
      <w:tr w:rsidR="00403CD6">
        <w:trPr>
          <w:trHeight w:val="284"/>
        </w:trPr>
        <w:tc>
          <w:tcPr>
            <w:tcW w:w="185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合营企业或联营企业名称</w:t>
            </w:r>
          </w:p>
        </w:tc>
        <w:tc>
          <w:tcPr>
            <w:tcW w:w="35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主要经营地</w:t>
            </w:r>
          </w:p>
        </w:tc>
        <w:tc>
          <w:tcPr>
            <w:tcW w:w="366"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注册地</w:t>
            </w:r>
          </w:p>
        </w:tc>
        <w:tc>
          <w:tcPr>
            <w:tcW w:w="29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业务性质</w:t>
            </w:r>
          </w:p>
        </w:tc>
        <w:tc>
          <w:tcPr>
            <w:tcW w:w="1073"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持股比例</w:t>
            </w:r>
          </w:p>
        </w:tc>
        <w:tc>
          <w:tcPr>
            <w:tcW w:w="1061"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对合营企业或联营企业投资的会计处理方法</w:t>
            </w:r>
          </w:p>
        </w:tc>
      </w:tr>
      <w:tr w:rsidR="00403CD6">
        <w:trPr>
          <w:trHeight w:val="284"/>
        </w:trPr>
        <w:tc>
          <w:tcPr>
            <w:tcW w:w="1854" w:type="pct"/>
            <w:vMerge/>
            <w:vAlign w:val="center"/>
          </w:tcPr>
          <w:p w:rsidR="00403CD6" w:rsidRDefault="00403CD6">
            <w:pPr>
              <w:widowControl/>
              <w:rPr>
                <w:rFonts w:ascii="Times New Roman" w:eastAsia="宋体" w:hAnsi="Times New Roman" w:cs="Times New Roman"/>
                <w:sz w:val="18"/>
                <w:szCs w:val="18"/>
              </w:rPr>
            </w:pPr>
          </w:p>
        </w:tc>
        <w:tc>
          <w:tcPr>
            <w:tcW w:w="354" w:type="pct"/>
            <w:vMerge/>
            <w:vAlign w:val="center"/>
          </w:tcPr>
          <w:p w:rsidR="00403CD6" w:rsidRDefault="00403CD6">
            <w:pPr>
              <w:widowControl/>
              <w:rPr>
                <w:rFonts w:ascii="Times New Roman" w:eastAsia="宋体" w:hAnsi="Times New Roman" w:cs="Times New Roman"/>
                <w:sz w:val="18"/>
                <w:szCs w:val="18"/>
              </w:rPr>
            </w:pPr>
          </w:p>
        </w:tc>
        <w:tc>
          <w:tcPr>
            <w:tcW w:w="366" w:type="pct"/>
            <w:vMerge/>
            <w:vAlign w:val="center"/>
          </w:tcPr>
          <w:p w:rsidR="00403CD6" w:rsidRDefault="00403CD6">
            <w:pPr>
              <w:widowControl/>
              <w:rPr>
                <w:rFonts w:ascii="Times New Roman" w:eastAsia="宋体" w:hAnsi="Times New Roman" w:cs="Times New Roman"/>
                <w:sz w:val="18"/>
                <w:szCs w:val="18"/>
              </w:rPr>
            </w:pPr>
          </w:p>
        </w:tc>
        <w:tc>
          <w:tcPr>
            <w:tcW w:w="292" w:type="pct"/>
            <w:vMerge/>
            <w:vAlign w:val="center"/>
          </w:tcPr>
          <w:p w:rsidR="00403CD6" w:rsidRDefault="00403CD6">
            <w:pPr>
              <w:widowControl/>
              <w:rPr>
                <w:rFonts w:ascii="Times New Roman" w:eastAsia="宋体" w:hAnsi="Times New Roman" w:cs="Times New Roman"/>
                <w:sz w:val="18"/>
                <w:szCs w:val="18"/>
              </w:rPr>
            </w:pPr>
          </w:p>
        </w:tc>
        <w:tc>
          <w:tcPr>
            <w:tcW w:w="51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直接（</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56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间接（</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1061"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854" w:type="pct"/>
            <w:shd w:val="clear" w:color="auto" w:fill="auto"/>
            <w:vAlign w:val="center"/>
          </w:tcPr>
          <w:p w:rsidR="00403CD6" w:rsidRDefault="00E91A59">
            <w:pPr>
              <w:adjustRightInd w:val="0"/>
              <w:snapToGrid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一、合营企业</w:t>
            </w:r>
          </w:p>
        </w:tc>
        <w:tc>
          <w:tcPr>
            <w:tcW w:w="354" w:type="pct"/>
            <w:shd w:val="clear" w:color="auto" w:fill="auto"/>
            <w:vAlign w:val="center"/>
          </w:tcPr>
          <w:p w:rsidR="00403CD6" w:rsidRDefault="00403CD6">
            <w:pPr>
              <w:rPr>
                <w:rFonts w:ascii="Times New Roman" w:hAnsi="Times New Roman" w:cs="Times New Roman"/>
                <w:sz w:val="18"/>
                <w:szCs w:val="18"/>
              </w:rPr>
            </w:pPr>
          </w:p>
        </w:tc>
        <w:tc>
          <w:tcPr>
            <w:tcW w:w="366" w:type="pct"/>
            <w:shd w:val="clear" w:color="auto" w:fill="auto"/>
            <w:vAlign w:val="center"/>
          </w:tcPr>
          <w:p w:rsidR="00403CD6" w:rsidRDefault="00403CD6">
            <w:pPr>
              <w:rPr>
                <w:rFonts w:ascii="Times New Roman" w:hAnsi="Times New Roman" w:cs="Times New Roman"/>
                <w:sz w:val="18"/>
                <w:szCs w:val="18"/>
              </w:rPr>
            </w:pPr>
          </w:p>
        </w:tc>
        <w:tc>
          <w:tcPr>
            <w:tcW w:w="292" w:type="pct"/>
            <w:shd w:val="clear" w:color="auto" w:fill="auto"/>
            <w:vAlign w:val="center"/>
          </w:tcPr>
          <w:p w:rsidR="00403CD6" w:rsidRDefault="00403CD6">
            <w:pPr>
              <w:rPr>
                <w:rFonts w:ascii="Times New Roman" w:hAnsi="Times New Roman" w:cs="Times New Roman"/>
                <w:sz w:val="18"/>
                <w:szCs w:val="18"/>
              </w:rPr>
            </w:pPr>
          </w:p>
        </w:tc>
        <w:tc>
          <w:tcPr>
            <w:tcW w:w="512" w:type="pct"/>
            <w:shd w:val="clear" w:color="auto" w:fill="auto"/>
            <w:vAlign w:val="center"/>
          </w:tcPr>
          <w:p w:rsidR="00403CD6" w:rsidRDefault="00403CD6">
            <w:pPr>
              <w:jc w:val="right"/>
              <w:rPr>
                <w:rFonts w:ascii="Times New Roman" w:hAnsi="Times New Roman" w:cs="Times New Roman"/>
                <w:sz w:val="18"/>
                <w:szCs w:val="18"/>
              </w:rPr>
            </w:pPr>
          </w:p>
        </w:tc>
        <w:tc>
          <w:tcPr>
            <w:tcW w:w="561" w:type="pct"/>
            <w:shd w:val="clear" w:color="auto" w:fill="auto"/>
            <w:vAlign w:val="center"/>
          </w:tcPr>
          <w:p w:rsidR="00403CD6" w:rsidRDefault="00403CD6">
            <w:pPr>
              <w:jc w:val="right"/>
              <w:rPr>
                <w:rFonts w:ascii="Times New Roman" w:hAnsi="Times New Roman" w:cs="Times New Roman"/>
                <w:sz w:val="18"/>
                <w:szCs w:val="18"/>
              </w:rPr>
            </w:pPr>
          </w:p>
        </w:tc>
        <w:tc>
          <w:tcPr>
            <w:tcW w:w="1061"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854" w:type="pct"/>
            <w:shd w:val="clear" w:color="auto" w:fill="auto"/>
            <w:vAlign w:val="center"/>
          </w:tcPr>
          <w:p w:rsidR="00403CD6" w:rsidRDefault="00E91A59">
            <w:pPr>
              <w:adjustRightInd w:val="0"/>
              <w:snapToGrid w:val="0"/>
              <w:rPr>
                <w:rFonts w:ascii="Times New Roman" w:hAnsi="Times New Roman" w:cs="Times New Roman"/>
                <w:color w:val="000000" w:themeColor="text1"/>
                <w:sz w:val="18"/>
                <w:szCs w:val="18"/>
              </w:rPr>
            </w:pPr>
            <w:r>
              <w:rPr>
                <w:rFonts w:ascii="Times New Roman" w:hAnsi="Times New Roman" w:cs="Times New Roman"/>
                <w:sz w:val="18"/>
                <w:szCs w:val="18"/>
              </w:rPr>
              <w:t>寿光市金</w:t>
            </w:r>
            <w:proofErr w:type="gramStart"/>
            <w:r>
              <w:rPr>
                <w:rFonts w:ascii="Times New Roman" w:hAnsi="Times New Roman" w:cs="Times New Roman"/>
                <w:sz w:val="18"/>
                <w:szCs w:val="18"/>
              </w:rPr>
              <w:t>投产业</w:t>
            </w:r>
            <w:proofErr w:type="gramEnd"/>
            <w:r>
              <w:rPr>
                <w:rFonts w:ascii="Times New Roman" w:hAnsi="Times New Roman" w:cs="Times New Roman"/>
                <w:sz w:val="18"/>
                <w:szCs w:val="18"/>
              </w:rPr>
              <w:t>投资合伙企业（有限合伙）</w:t>
            </w:r>
          </w:p>
        </w:tc>
        <w:tc>
          <w:tcPr>
            <w:tcW w:w="354"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寿光</w:t>
            </w:r>
          </w:p>
        </w:tc>
        <w:tc>
          <w:tcPr>
            <w:tcW w:w="366"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寿光</w:t>
            </w:r>
          </w:p>
        </w:tc>
        <w:tc>
          <w:tcPr>
            <w:tcW w:w="2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投资</w:t>
            </w:r>
          </w:p>
        </w:tc>
        <w:tc>
          <w:tcPr>
            <w:tcW w:w="512" w:type="pct"/>
            <w:shd w:val="clear" w:color="auto" w:fill="auto"/>
            <w:vAlign w:val="center"/>
          </w:tcPr>
          <w:p w:rsidR="00403CD6" w:rsidRDefault="00403CD6">
            <w:pPr>
              <w:jc w:val="center"/>
              <w:rPr>
                <w:rFonts w:ascii="Times New Roman" w:hAnsi="Times New Roman" w:cs="Times New Roman"/>
                <w:sz w:val="18"/>
                <w:szCs w:val="18"/>
              </w:rPr>
            </w:pPr>
          </w:p>
        </w:tc>
        <w:tc>
          <w:tcPr>
            <w:tcW w:w="56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49.57</w:t>
            </w:r>
          </w:p>
        </w:tc>
        <w:tc>
          <w:tcPr>
            <w:tcW w:w="106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权益法</w:t>
            </w:r>
          </w:p>
        </w:tc>
      </w:tr>
      <w:tr w:rsidR="00403CD6">
        <w:trPr>
          <w:trHeight w:val="284"/>
        </w:trPr>
        <w:tc>
          <w:tcPr>
            <w:tcW w:w="1854" w:type="pct"/>
            <w:shd w:val="clear" w:color="auto" w:fill="auto"/>
            <w:vAlign w:val="center"/>
          </w:tcPr>
          <w:p w:rsidR="00403CD6" w:rsidRDefault="00E91A59">
            <w:pPr>
              <w:adjustRightInd w:val="0"/>
              <w:snapToGrid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二、联营企业</w:t>
            </w:r>
          </w:p>
        </w:tc>
        <w:tc>
          <w:tcPr>
            <w:tcW w:w="354" w:type="pct"/>
            <w:shd w:val="clear" w:color="auto" w:fill="auto"/>
            <w:vAlign w:val="center"/>
          </w:tcPr>
          <w:p w:rsidR="00403CD6" w:rsidRDefault="00403CD6">
            <w:pPr>
              <w:jc w:val="center"/>
              <w:rPr>
                <w:rFonts w:ascii="Times New Roman" w:hAnsi="Times New Roman" w:cs="Times New Roman"/>
                <w:sz w:val="18"/>
                <w:szCs w:val="18"/>
              </w:rPr>
            </w:pPr>
          </w:p>
        </w:tc>
        <w:tc>
          <w:tcPr>
            <w:tcW w:w="366" w:type="pct"/>
            <w:shd w:val="clear" w:color="auto" w:fill="auto"/>
            <w:vAlign w:val="center"/>
          </w:tcPr>
          <w:p w:rsidR="00403CD6" w:rsidRDefault="00403CD6">
            <w:pPr>
              <w:jc w:val="center"/>
              <w:rPr>
                <w:rFonts w:ascii="Times New Roman" w:hAnsi="Times New Roman" w:cs="Times New Roman"/>
                <w:sz w:val="18"/>
                <w:szCs w:val="18"/>
              </w:rPr>
            </w:pPr>
          </w:p>
        </w:tc>
        <w:tc>
          <w:tcPr>
            <w:tcW w:w="292" w:type="pct"/>
            <w:shd w:val="clear" w:color="auto" w:fill="auto"/>
            <w:vAlign w:val="center"/>
          </w:tcPr>
          <w:p w:rsidR="00403CD6" w:rsidRDefault="00403CD6">
            <w:pPr>
              <w:jc w:val="center"/>
              <w:rPr>
                <w:rFonts w:ascii="Times New Roman" w:hAnsi="Times New Roman" w:cs="Times New Roman"/>
                <w:sz w:val="18"/>
                <w:szCs w:val="18"/>
              </w:rPr>
            </w:pPr>
          </w:p>
        </w:tc>
        <w:tc>
          <w:tcPr>
            <w:tcW w:w="512" w:type="pct"/>
            <w:shd w:val="clear" w:color="auto" w:fill="auto"/>
            <w:vAlign w:val="center"/>
          </w:tcPr>
          <w:p w:rsidR="00403CD6" w:rsidRDefault="00403CD6">
            <w:pPr>
              <w:jc w:val="center"/>
              <w:rPr>
                <w:rFonts w:ascii="Times New Roman" w:hAnsi="Times New Roman" w:cs="Times New Roman"/>
                <w:sz w:val="18"/>
                <w:szCs w:val="18"/>
              </w:rPr>
            </w:pPr>
          </w:p>
        </w:tc>
        <w:tc>
          <w:tcPr>
            <w:tcW w:w="561" w:type="pct"/>
            <w:shd w:val="clear" w:color="auto" w:fill="auto"/>
            <w:vAlign w:val="center"/>
          </w:tcPr>
          <w:p w:rsidR="00403CD6" w:rsidRDefault="00403CD6">
            <w:pPr>
              <w:jc w:val="center"/>
              <w:rPr>
                <w:rFonts w:ascii="Times New Roman" w:hAnsi="Times New Roman" w:cs="Times New Roman"/>
                <w:sz w:val="18"/>
                <w:szCs w:val="18"/>
              </w:rPr>
            </w:pPr>
          </w:p>
        </w:tc>
        <w:tc>
          <w:tcPr>
            <w:tcW w:w="1061" w:type="pct"/>
            <w:shd w:val="clear" w:color="auto" w:fill="auto"/>
            <w:vAlign w:val="center"/>
          </w:tcPr>
          <w:p w:rsidR="00403CD6" w:rsidRDefault="00403CD6">
            <w:pPr>
              <w:jc w:val="center"/>
              <w:rPr>
                <w:rFonts w:ascii="Times New Roman" w:hAnsi="Times New Roman" w:cs="Times New Roman"/>
                <w:sz w:val="18"/>
                <w:szCs w:val="18"/>
              </w:rPr>
            </w:pPr>
          </w:p>
        </w:tc>
      </w:tr>
      <w:tr w:rsidR="00403CD6">
        <w:trPr>
          <w:trHeight w:val="284"/>
        </w:trPr>
        <w:tc>
          <w:tcPr>
            <w:tcW w:w="1854" w:type="pct"/>
            <w:shd w:val="clear" w:color="auto" w:fill="auto"/>
            <w:vAlign w:val="center"/>
          </w:tcPr>
          <w:p w:rsidR="00403CD6" w:rsidRDefault="00E91A59">
            <w:pPr>
              <w:adjustRightInd w:val="0"/>
              <w:snapToGrid w:val="0"/>
              <w:rPr>
                <w:rFonts w:ascii="Times New Roman" w:hAnsi="Times New Roman" w:cs="Times New Roman"/>
                <w:color w:val="000000" w:themeColor="text1"/>
                <w:sz w:val="18"/>
                <w:szCs w:val="18"/>
              </w:rPr>
            </w:pPr>
            <w:r>
              <w:rPr>
                <w:rFonts w:ascii="Times New Roman" w:hAnsi="Times New Roman" w:cs="Times New Roman"/>
                <w:sz w:val="18"/>
                <w:szCs w:val="18"/>
              </w:rPr>
              <w:t>广东南粤银行股份有限公司</w:t>
            </w:r>
          </w:p>
        </w:tc>
        <w:tc>
          <w:tcPr>
            <w:tcW w:w="354"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广东</w:t>
            </w:r>
          </w:p>
        </w:tc>
        <w:tc>
          <w:tcPr>
            <w:tcW w:w="366"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广东</w:t>
            </w:r>
          </w:p>
        </w:tc>
        <w:tc>
          <w:tcPr>
            <w:tcW w:w="292"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银行</w:t>
            </w:r>
          </w:p>
        </w:tc>
        <w:tc>
          <w:tcPr>
            <w:tcW w:w="512" w:type="pct"/>
            <w:shd w:val="clear" w:color="auto" w:fill="auto"/>
            <w:vAlign w:val="center"/>
          </w:tcPr>
          <w:p w:rsidR="00403CD6" w:rsidRDefault="00403CD6">
            <w:pPr>
              <w:jc w:val="center"/>
              <w:rPr>
                <w:rFonts w:ascii="Times New Roman" w:hAnsi="Times New Roman" w:cs="Times New Roman"/>
                <w:sz w:val="18"/>
                <w:szCs w:val="18"/>
              </w:rPr>
            </w:pPr>
          </w:p>
        </w:tc>
        <w:tc>
          <w:tcPr>
            <w:tcW w:w="56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4.46</w:t>
            </w:r>
          </w:p>
        </w:tc>
        <w:tc>
          <w:tcPr>
            <w:tcW w:w="1061" w:type="pct"/>
            <w:shd w:val="clear" w:color="auto" w:fill="auto"/>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权益法</w:t>
            </w:r>
          </w:p>
        </w:tc>
      </w:tr>
    </w:tbl>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公司持有广东南粤银行股份有限公司</w:t>
      </w:r>
      <w:r>
        <w:rPr>
          <w:rFonts w:ascii="Times New Roman" w:hAnsi="Times New Roman" w:cs="Times New Roman"/>
          <w:sz w:val="18"/>
          <w:szCs w:val="18"/>
        </w:rPr>
        <w:t>4.46%</w:t>
      </w:r>
      <w:r>
        <w:rPr>
          <w:rFonts w:ascii="Times New Roman" w:hAnsi="Times New Roman" w:cs="Times New Roman"/>
          <w:sz w:val="18"/>
          <w:szCs w:val="18"/>
        </w:rPr>
        <w:t>的股权，但为第二大股东，在董事会中委派</w:t>
      </w:r>
      <w:r>
        <w:rPr>
          <w:rFonts w:ascii="Times New Roman" w:hAnsi="Times New Roman" w:cs="Times New Roman"/>
          <w:sz w:val="18"/>
          <w:szCs w:val="18"/>
        </w:rPr>
        <w:t>1</w:t>
      </w:r>
      <w:r>
        <w:rPr>
          <w:rFonts w:ascii="Times New Roman" w:hAnsi="Times New Roman" w:cs="Times New Roman"/>
          <w:sz w:val="18"/>
          <w:szCs w:val="18"/>
        </w:rPr>
        <w:t>名董事（董事会中共有</w:t>
      </w:r>
      <w:r>
        <w:rPr>
          <w:rFonts w:ascii="Times New Roman" w:hAnsi="Times New Roman" w:cs="Times New Roman"/>
          <w:sz w:val="18"/>
          <w:szCs w:val="18"/>
        </w:rPr>
        <w:t>9</w:t>
      </w:r>
      <w:r>
        <w:rPr>
          <w:rFonts w:ascii="Times New Roman" w:hAnsi="Times New Roman" w:cs="Times New Roman"/>
          <w:sz w:val="18"/>
          <w:szCs w:val="18"/>
        </w:rPr>
        <w:t>董事），能够对广东南粤银行股份有限公司产生重大影响。</w:t>
      </w:r>
    </w:p>
    <w:p w:rsidR="00403CD6" w:rsidRDefault="00E91A59">
      <w:pPr>
        <w:keepNext/>
        <w:keepLines/>
        <w:spacing w:before="300" w:after="300" w:line="280" w:lineRule="exact"/>
        <w:outlineLvl w:val="3"/>
        <w:rPr>
          <w:rFonts w:ascii="宋体" w:eastAsia="宋体" w:hAnsi="宋体" w:cs="宋体"/>
          <w:b/>
          <w:bCs/>
          <w:szCs w:val="21"/>
        </w:rPr>
      </w:pPr>
      <w:bookmarkStart w:id="128" w:name="_Toc989446"/>
      <w:r>
        <w:rPr>
          <w:rFonts w:ascii="宋体" w:eastAsia="宋体" w:hAnsi="宋体" w:cs="宋体" w:hint="eastAsia"/>
          <w:b/>
          <w:bCs/>
          <w:szCs w:val="21"/>
        </w:rPr>
        <w:t>（2） 重要合营企业的主要财务信息</w:t>
      </w:r>
      <w:bookmarkEnd w:id="128"/>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430"/>
        <w:gridCol w:w="3119"/>
        <w:gridCol w:w="3144"/>
      </w:tblGrid>
      <w:tr w:rsidR="00403CD6">
        <w:trPr>
          <w:trHeight w:val="284"/>
        </w:trPr>
        <w:tc>
          <w:tcPr>
            <w:tcW w:w="1769" w:type="pct"/>
            <w:vMerge w:val="restart"/>
            <w:shd w:val="clear" w:color="auto" w:fill="D3D3D3"/>
            <w:vAlign w:val="center"/>
          </w:tcPr>
          <w:p w:rsidR="00403CD6" w:rsidRDefault="00403CD6">
            <w:pPr>
              <w:rPr>
                <w:rFonts w:asciiTheme="minorEastAsia" w:hAnsiTheme="minorEastAsia" w:cstheme="minorEastAsia"/>
                <w:sz w:val="18"/>
                <w:szCs w:val="18"/>
              </w:rPr>
            </w:pPr>
          </w:p>
        </w:tc>
        <w:tc>
          <w:tcPr>
            <w:tcW w:w="1609"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期末余额/本期发生额</w:t>
            </w:r>
          </w:p>
        </w:tc>
        <w:tc>
          <w:tcPr>
            <w:tcW w:w="1622"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期初余额/上期发生额</w:t>
            </w:r>
          </w:p>
        </w:tc>
      </w:tr>
      <w:tr w:rsidR="00403CD6">
        <w:trPr>
          <w:trHeight w:val="284"/>
        </w:trPr>
        <w:tc>
          <w:tcPr>
            <w:tcW w:w="1769" w:type="pct"/>
            <w:vMerge/>
            <w:vAlign w:val="center"/>
          </w:tcPr>
          <w:p w:rsidR="00403CD6" w:rsidRDefault="00403CD6">
            <w:pPr>
              <w:widowControl/>
              <w:rPr>
                <w:rFonts w:asciiTheme="minorEastAsia" w:hAnsiTheme="minorEastAsia" w:cstheme="minorEastAsia"/>
                <w:sz w:val="18"/>
                <w:szCs w:val="18"/>
              </w:rPr>
            </w:pPr>
          </w:p>
        </w:tc>
        <w:tc>
          <w:tcPr>
            <w:tcW w:w="1609" w:type="pct"/>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寿光市金</w:t>
            </w:r>
            <w:proofErr w:type="gramStart"/>
            <w:r>
              <w:rPr>
                <w:rFonts w:asciiTheme="minorEastAsia" w:hAnsiTheme="minorEastAsia" w:cstheme="minorEastAsia" w:hint="eastAsia"/>
                <w:sz w:val="18"/>
                <w:szCs w:val="18"/>
              </w:rPr>
              <w:t>投产业</w:t>
            </w:r>
            <w:proofErr w:type="gramEnd"/>
            <w:r>
              <w:rPr>
                <w:rFonts w:asciiTheme="minorEastAsia" w:hAnsiTheme="minorEastAsia" w:cstheme="minorEastAsia" w:hint="eastAsia"/>
                <w:sz w:val="18"/>
                <w:szCs w:val="18"/>
              </w:rPr>
              <w:t>投资合伙企业（有限合伙）</w:t>
            </w:r>
          </w:p>
        </w:tc>
        <w:tc>
          <w:tcPr>
            <w:tcW w:w="1622" w:type="pct"/>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寿光市金</w:t>
            </w:r>
            <w:proofErr w:type="gramStart"/>
            <w:r>
              <w:rPr>
                <w:rFonts w:asciiTheme="minorEastAsia" w:hAnsiTheme="minorEastAsia" w:cstheme="minorEastAsia" w:hint="eastAsia"/>
                <w:sz w:val="18"/>
                <w:szCs w:val="18"/>
              </w:rPr>
              <w:t>投产业</w:t>
            </w:r>
            <w:proofErr w:type="gramEnd"/>
            <w:r>
              <w:rPr>
                <w:rFonts w:asciiTheme="minorEastAsia" w:hAnsiTheme="minorEastAsia" w:cstheme="minorEastAsia" w:hint="eastAsia"/>
                <w:sz w:val="18"/>
                <w:szCs w:val="18"/>
              </w:rPr>
              <w:t>投资合伙企业（有限合伙）</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流动资产</w:t>
            </w:r>
          </w:p>
        </w:tc>
        <w:tc>
          <w:tcPr>
            <w:tcW w:w="1609" w:type="pct"/>
            <w:shd w:val="clear" w:color="auto" w:fill="auto"/>
            <w:vAlign w:val="center"/>
          </w:tcPr>
          <w:p w:rsidR="00403CD6" w:rsidRDefault="002967A9">
            <w:pPr>
              <w:jc w:val="right"/>
              <w:rPr>
                <w:rFonts w:ascii="Times New Roman" w:hAnsi="Times New Roman" w:cs="Times New Roman"/>
                <w:sz w:val="18"/>
                <w:szCs w:val="18"/>
              </w:rPr>
            </w:pPr>
            <w:r w:rsidRPr="004E1CA6">
              <w:rPr>
                <w:rFonts w:ascii="Times New Roman" w:hAnsi="Times New Roman" w:cs="Times New Roman"/>
                <w:sz w:val="18"/>
                <w:szCs w:val="18"/>
              </w:rPr>
              <w:t>1,469,875,783.97</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1,775,433,885.35</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其中：现金和现金等价物</w:t>
            </w:r>
          </w:p>
        </w:tc>
        <w:tc>
          <w:tcPr>
            <w:tcW w:w="16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11,415,277.31</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1,047,090.41</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非流动资产</w:t>
            </w:r>
          </w:p>
        </w:tc>
        <w:tc>
          <w:tcPr>
            <w:tcW w:w="1609" w:type="pct"/>
            <w:shd w:val="clear" w:color="auto" w:fill="auto"/>
            <w:vAlign w:val="center"/>
          </w:tcPr>
          <w:p w:rsidR="00403CD6" w:rsidRDefault="002967A9">
            <w:pPr>
              <w:jc w:val="right"/>
              <w:rPr>
                <w:rFonts w:ascii="Times New Roman" w:hAnsi="Times New Roman" w:cs="Times New Roman"/>
                <w:sz w:val="18"/>
                <w:szCs w:val="18"/>
              </w:rPr>
            </w:pPr>
            <w:r w:rsidRPr="004E1CA6">
              <w:rPr>
                <w:rFonts w:ascii="Times New Roman" w:hAnsi="Times New Roman" w:cs="Times New Roman"/>
                <w:sz w:val="18"/>
                <w:szCs w:val="18"/>
              </w:rPr>
              <w:t>594,445,221.29</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408,884,578.74</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资产合计</w:t>
            </w:r>
          </w:p>
        </w:tc>
        <w:tc>
          <w:tcPr>
            <w:tcW w:w="1609" w:type="pct"/>
            <w:shd w:val="clear" w:color="auto" w:fill="auto"/>
            <w:vAlign w:val="center"/>
          </w:tcPr>
          <w:p w:rsidR="00403CD6" w:rsidRPr="008A7F3A" w:rsidRDefault="002967A9">
            <w:pPr>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2,064,321,005.26</w:t>
            </w:r>
          </w:p>
        </w:tc>
        <w:tc>
          <w:tcPr>
            <w:tcW w:w="1622"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2,184,318,464.09</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流动负债</w:t>
            </w:r>
          </w:p>
        </w:tc>
        <w:tc>
          <w:tcPr>
            <w:tcW w:w="1609" w:type="pct"/>
            <w:shd w:val="clear" w:color="auto" w:fill="auto"/>
            <w:vAlign w:val="center"/>
          </w:tcPr>
          <w:p w:rsidR="00403CD6" w:rsidRDefault="002967A9">
            <w:pPr>
              <w:jc w:val="right"/>
              <w:rPr>
                <w:rFonts w:ascii="Times New Roman" w:hAnsi="Times New Roman" w:cs="Times New Roman"/>
                <w:sz w:val="18"/>
                <w:szCs w:val="18"/>
              </w:rPr>
            </w:pPr>
            <w:r w:rsidRPr="004E1CA6">
              <w:rPr>
                <w:rFonts w:ascii="Times New Roman" w:hAnsi="Times New Roman" w:cs="Times New Roman"/>
                <w:sz w:val="18"/>
                <w:szCs w:val="18"/>
              </w:rPr>
              <w:t>257,355,454.66</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104,387,199.50</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非流动负债</w:t>
            </w:r>
          </w:p>
        </w:tc>
        <w:tc>
          <w:tcPr>
            <w:tcW w:w="1609" w:type="pct"/>
            <w:shd w:val="clear" w:color="auto" w:fill="auto"/>
            <w:vAlign w:val="center"/>
          </w:tcPr>
          <w:p w:rsidR="00403CD6" w:rsidRDefault="002967A9">
            <w:pPr>
              <w:jc w:val="right"/>
              <w:rPr>
                <w:rFonts w:ascii="Times New Roman" w:hAnsi="Times New Roman" w:cs="Times New Roman"/>
                <w:sz w:val="18"/>
                <w:szCs w:val="18"/>
              </w:rPr>
            </w:pPr>
            <w:r w:rsidRPr="004E1CA6">
              <w:rPr>
                <w:rFonts w:ascii="Times New Roman" w:hAnsi="Times New Roman" w:cs="Times New Roman"/>
                <w:sz w:val="18"/>
                <w:szCs w:val="18"/>
              </w:rPr>
              <w:t>22,702,318.57</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5,805,542.05</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负债合计</w:t>
            </w:r>
          </w:p>
        </w:tc>
        <w:tc>
          <w:tcPr>
            <w:tcW w:w="1609" w:type="pct"/>
            <w:shd w:val="clear" w:color="auto" w:fill="auto"/>
            <w:vAlign w:val="center"/>
          </w:tcPr>
          <w:p w:rsidR="00403CD6" w:rsidRPr="00F60653" w:rsidRDefault="002967A9" w:rsidP="001326E2">
            <w:pPr>
              <w:jc w:val="right"/>
              <w:rPr>
                <w:rFonts w:ascii="Times New Roman" w:hAnsi="Times New Roman" w:cs="Times New Roman"/>
                <w:sz w:val="18"/>
                <w:szCs w:val="18"/>
              </w:rPr>
            </w:pPr>
            <w:r w:rsidRPr="004E1CA6">
              <w:rPr>
                <w:rFonts w:ascii="Times New Roman" w:hAnsi="Times New Roman" w:cs="Times New Roman"/>
                <w:sz w:val="18"/>
                <w:szCs w:val="18"/>
              </w:rPr>
              <w:t>280,057,773.23</w:t>
            </w:r>
          </w:p>
        </w:tc>
        <w:tc>
          <w:tcPr>
            <w:tcW w:w="1622"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110,192,741.55</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净资产</w:t>
            </w:r>
          </w:p>
        </w:tc>
        <w:tc>
          <w:tcPr>
            <w:tcW w:w="1609" w:type="pct"/>
            <w:shd w:val="clear" w:color="auto" w:fill="auto"/>
            <w:vAlign w:val="center"/>
          </w:tcPr>
          <w:p w:rsidR="00403CD6" w:rsidRDefault="00F60653">
            <w:pPr>
              <w:jc w:val="right"/>
              <w:rPr>
                <w:rFonts w:ascii="Times New Roman" w:hAnsi="Times New Roman" w:cs="Times New Roman"/>
                <w:sz w:val="18"/>
                <w:szCs w:val="18"/>
              </w:rPr>
            </w:pPr>
            <w:r w:rsidRPr="004E1CA6">
              <w:rPr>
                <w:rFonts w:ascii="Times New Roman" w:hAnsi="Times New Roman" w:cs="Times New Roman"/>
                <w:sz w:val="18"/>
                <w:szCs w:val="18"/>
              </w:rPr>
              <w:t>1,784,263,232.03</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2,074,125,722.54</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其中：少数股东权益</w:t>
            </w:r>
          </w:p>
        </w:tc>
        <w:tc>
          <w:tcPr>
            <w:tcW w:w="1609" w:type="pct"/>
            <w:shd w:val="clear" w:color="auto" w:fill="auto"/>
            <w:vAlign w:val="center"/>
          </w:tcPr>
          <w:p w:rsidR="00403CD6" w:rsidRDefault="00F60653">
            <w:pPr>
              <w:jc w:val="right"/>
              <w:rPr>
                <w:rFonts w:ascii="Times New Roman" w:hAnsi="Times New Roman" w:cs="Times New Roman"/>
                <w:sz w:val="18"/>
                <w:szCs w:val="18"/>
              </w:rPr>
            </w:pPr>
            <w:r w:rsidRPr="004E1CA6">
              <w:rPr>
                <w:rFonts w:ascii="Times New Roman" w:hAnsi="Times New Roman" w:cs="Times New Roman"/>
                <w:sz w:val="18"/>
                <w:szCs w:val="18"/>
              </w:rPr>
              <w:t>5,172,055.47</w:t>
            </w:r>
          </w:p>
        </w:tc>
        <w:tc>
          <w:tcPr>
            <w:tcW w:w="1622"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归属于母公司的所有者权益</w:t>
            </w:r>
          </w:p>
        </w:tc>
        <w:tc>
          <w:tcPr>
            <w:tcW w:w="16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1,779,091,176.56</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2,074,125,722.54</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按持股比例计算的净资产份额</w:t>
            </w:r>
          </w:p>
        </w:tc>
        <w:tc>
          <w:tcPr>
            <w:tcW w:w="16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881,884,821.67</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1,028,131,675.91</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调整事项</w:t>
            </w:r>
          </w:p>
        </w:tc>
        <w:tc>
          <w:tcPr>
            <w:tcW w:w="1609" w:type="pct"/>
            <w:shd w:val="clear" w:color="auto" w:fill="auto"/>
            <w:vAlign w:val="center"/>
          </w:tcPr>
          <w:p w:rsidR="00403CD6" w:rsidRDefault="00403CD6">
            <w:pPr>
              <w:jc w:val="right"/>
              <w:rPr>
                <w:rFonts w:ascii="Times New Roman" w:hAnsi="Times New Roman" w:cs="Times New Roman"/>
                <w:sz w:val="18"/>
                <w:szCs w:val="18"/>
              </w:rPr>
            </w:pPr>
          </w:p>
        </w:tc>
        <w:tc>
          <w:tcPr>
            <w:tcW w:w="1622"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其中：其他</w:t>
            </w:r>
          </w:p>
        </w:tc>
        <w:tc>
          <w:tcPr>
            <w:tcW w:w="16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897,206,354.89</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1,316,438,571.64 </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 xml:space="preserve">        减值准备</w:t>
            </w:r>
          </w:p>
        </w:tc>
        <w:tc>
          <w:tcPr>
            <w:tcW w:w="1609" w:type="pct"/>
            <w:shd w:val="clear" w:color="auto" w:fill="auto"/>
            <w:vAlign w:val="center"/>
          </w:tcPr>
          <w:p w:rsidR="00403CD6" w:rsidRDefault="00403CD6">
            <w:pPr>
              <w:jc w:val="right"/>
              <w:rPr>
                <w:rFonts w:ascii="Times New Roman" w:hAnsi="Times New Roman" w:cs="Times New Roman"/>
                <w:sz w:val="18"/>
                <w:szCs w:val="18"/>
              </w:rPr>
            </w:pPr>
          </w:p>
        </w:tc>
        <w:tc>
          <w:tcPr>
            <w:tcW w:w="1622"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对合营企业权益投资的账面价值 </w:t>
            </w:r>
          </w:p>
        </w:tc>
        <w:tc>
          <w:tcPr>
            <w:tcW w:w="1609"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1,779,091,176.56</w:t>
            </w:r>
          </w:p>
        </w:tc>
        <w:tc>
          <w:tcPr>
            <w:tcW w:w="1622"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2,344,570,247.55 </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营业收入</w:t>
            </w:r>
          </w:p>
        </w:tc>
        <w:tc>
          <w:tcPr>
            <w:tcW w:w="1609" w:type="pct"/>
            <w:shd w:val="clear" w:color="auto" w:fill="auto"/>
            <w:vAlign w:val="center"/>
          </w:tcPr>
          <w:p w:rsidR="00403CD6" w:rsidRPr="005367F7" w:rsidRDefault="00F60653">
            <w:pPr>
              <w:spacing w:before="100" w:beforeAutospacing="1" w:after="100" w:afterAutospacing="1"/>
              <w:jc w:val="right"/>
              <w:rPr>
                <w:rFonts w:ascii="Times New Roman" w:hAnsi="Times New Roman" w:cs="Times New Roman"/>
                <w:bCs/>
                <w:sz w:val="18"/>
                <w:szCs w:val="18"/>
              </w:rPr>
            </w:pPr>
            <w:r w:rsidRPr="004E1CA6">
              <w:rPr>
                <w:rFonts w:ascii="Times New Roman" w:hAnsi="Times New Roman" w:cs="Times New Roman"/>
                <w:bCs/>
                <w:sz w:val="18"/>
                <w:szCs w:val="18"/>
              </w:rPr>
              <w:t>503,795,502.75</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857,541,982.94</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财务费用</w:t>
            </w:r>
          </w:p>
        </w:tc>
        <w:tc>
          <w:tcPr>
            <w:tcW w:w="1609" w:type="pct"/>
            <w:shd w:val="clear" w:color="auto" w:fill="auto"/>
            <w:vAlign w:val="center"/>
          </w:tcPr>
          <w:p w:rsidR="00403CD6" w:rsidRPr="005367F7" w:rsidRDefault="00F60653">
            <w:pPr>
              <w:spacing w:before="100" w:beforeAutospacing="1" w:after="100" w:afterAutospacing="1"/>
              <w:jc w:val="right"/>
              <w:rPr>
                <w:rFonts w:ascii="Times New Roman" w:hAnsi="Times New Roman" w:cs="Times New Roman"/>
                <w:bCs/>
                <w:sz w:val="18"/>
                <w:szCs w:val="18"/>
              </w:rPr>
            </w:pPr>
            <w:r w:rsidRPr="004E1CA6">
              <w:rPr>
                <w:rFonts w:ascii="Times New Roman" w:hAnsi="Times New Roman" w:cs="Times New Roman"/>
                <w:bCs/>
                <w:sz w:val="18"/>
                <w:szCs w:val="18"/>
              </w:rPr>
              <w:t>1,790,006.41</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765,662.12</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所得税费用</w:t>
            </w:r>
          </w:p>
        </w:tc>
        <w:tc>
          <w:tcPr>
            <w:tcW w:w="1609" w:type="pct"/>
            <w:shd w:val="clear" w:color="auto" w:fill="auto"/>
            <w:vAlign w:val="center"/>
          </w:tcPr>
          <w:p w:rsidR="00403CD6" w:rsidRPr="00F60653" w:rsidRDefault="00403CD6">
            <w:pPr>
              <w:jc w:val="right"/>
              <w:rPr>
                <w:rFonts w:ascii="Times New Roman" w:hAnsi="Times New Roman" w:cs="Times New Roman"/>
                <w:bCs/>
                <w:sz w:val="18"/>
                <w:szCs w:val="18"/>
              </w:rPr>
            </w:pPr>
          </w:p>
        </w:tc>
        <w:tc>
          <w:tcPr>
            <w:tcW w:w="1622"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净利润</w:t>
            </w:r>
          </w:p>
        </w:tc>
        <w:tc>
          <w:tcPr>
            <w:tcW w:w="1609" w:type="pct"/>
            <w:shd w:val="clear" w:color="auto" w:fill="auto"/>
            <w:vAlign w:val="center"/>
          </w:tcPr>
          <w:p w:rsidR="00403CD6" w:rsidRPr="005367F7" w:rsidRDefault="008626D1">
            <w:pPr>
              <w:spacing w:before="100" w:beforeAutospacing="1" w:after="100" w:afterAutospacing="1"/>
              <w:jc w:val="right"/>
              <w:rPr>
                <w:rFonts w:ascii="Times New Roman" w:hAnsi="Times New Roman" w:cs="Times New Roman"/>
                <w:bCs/>
                <w:sz w:val="18"/>
                <w:szCs w:val="18"/>
              </w:rPr>
            </w:pPr>
            <w:r w:rsidRPr="00F45AED">
              <w:rPr>
                <w:rFonts w:ascii="Times New Roman" w:hAnsi="Times New Roman" w:cs="Times New Roman"/>
                <w:bCs/>
                <w:sz w:val="18"/>
                <w:szCs w:val="18"/>
              </w:rPr>
              <w:t>-565,479,070.99</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-15,428,414.12</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综合收益总额</w:t>
            </w:r>
          </w:p>
        </w:tc>
        <w:tc>
          <w:tcPr>
            <w:tcW w:w="1609" w:type="pct"/>
            <w:shd w:val="clear" w:color="auto" w:fill="auto"/>
            <w:vAlign w:val="center"/>
          </w:tcPr>
          <w:p w:rsidR="00403CD6" w:rsidRPr="005367F7" w:rsidRDefault="008626D1">
            <w:pPr>
              <w:spacing w:before="100" w:beforeAutospacing="1" w:after="100" w:afterAutospacing="1"/>
              <w:jc w:val="right"/>
              <w:rPr>
                <w:rFonts w:ascii="Times New Roman" w:hAnsi="Times New Roman" w:cs="Times New Roman"/>
                <w:bCs/>
                <w:sz w:val="18"/>
                <w:szCs w:val="18"/>
              </w:rPr>
            </w:pPr>
            <w:r w:rsidRPr="00F45AED">
              <w:rPr>
                <w:rFonts w:ascii="Times New Roman" w:hAnsi="Times New Roman" w:cs="Times New Roman"/>
                <w:bCs/>
                <w:sz w:val="18"/>
                <w:szCs w:val="18"/>
              </w:rPr>
              <w:t>-565,479,070.99</w:t>
            </w:r>
          </w:p>
        </w:tc>
        <w:tc>
          <w:tcPr>
            <w:tcW w:w="162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-15,428,414.12</w:t>
            </w:r>
          </w:p>
        </w:tc>
      </w:tr>
      <w:tr w:rsidR="00403CD6">
        <w:trPr>
          <w:trHeight w:val="284"/>
        </w:trPr>
        <w:tc>
          <w:tcPr>
            <w:tcW w:w="1769"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企业本期收到的来自合营企业的股利</w:t>
            </w:r>
          </w:p>
        </w:tc>
        <w:tc>
          <w:tcPr>
            <w:tcW w:w="1609" w:type="pct"/>
            <w:shd w:val="clear" w:color="auto" w:fill="auto"/>
            <w:vAlign w:val="center"/>
          </w:tcPr>
          <w:p w:rsidR="00403CD6" w:rsidRDefault="00403CD6">
            <w:pPr>
              <w:jc w:val="right"/>
              <w:rPr>
                <w:rFonts w:asciiTheme="minorEastAsia" w:hAnsiTheme="minorEastAsia" w:cstheme="minorEastAsia"/>
                <w:sz w:val="18"/>
                <w:szCs w:val="18"/>
              </w:rPr>
            </w:pPr>
          </w:p>
        </w:tc>
        <w:tc>
          <w:tcPr>
            <w:tcW w:w="1622" w:type="pct"/>
            <w:shd w:val="clear" w:color="auto" w:fill="auto"/>
            <w:vAlign w:val="center"/>
          </w:tcPr>
          <w:p w:rsidR="00403CD6" w:rsidRDefault="00403CD6">
            <w:pPr>
              <w:jc w:val="right"/>
              <w:rPr>
                <w:rFonts w:asciiTheme="minorEastAsia" w:hAnsiTheme="minorEastAsia" w:cstheme="minorEastAsia"/>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bookmarkStart w:id="129" w:name="_Toc989447"/>
      <w:r>
        <w:rPr>
          <w:rFonts w:ascii="宋体" w:eastAsia="宋体" w:hAnsi="宋体" w:cs="宋体" w:hint="eastAsia"/>
          <w:b/>
          <w:bCs/>
          <w:szCs w:val="21"/>
        </w:rPr>
        <w:t>（3） 重要联营企业的主要财务信息</w:t>
      </w:r>
      <w:bookmarkEnd w:id="129"/>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062"/>
        <w:gridCol w:w="3281"/>
      </w:tblGrid>
      <w:tr w:rsidR="00403CD6">
        <w:trPr>
          <w:trHeight w:val="284"/>
        </w:trPr>
        <w:tc>
          <w:tcPr>
            <w:tcW w:w="1781" w:type="pct"/>
            <w:vMerge w:val="restart"/>
            <w:shd w:val="clear" w:color="auto" w:fill="D3D3D3"/>
            <w:vAlign w:val="center"/>
          </w:tcPr>
          <w:p w:rsidR="00403CD6" w:rsidRDefault="00403CD6">
            <w:pPr>
              <w:rPr>
                <w:rFonts w:asciiTheme="minorEastAsia" w:hAnsiTheme="minorEastAsia" w:cstheme="minorEastAsia"/>
                <w:sz w:val="18"/>
                <w:szCs w:val="18"/>
              </w:rPr>
            </w:pPr>
          </w:p>
        </w:tc>
        <w:tc>
          <w:tcPr>
            <w:tcW w:w="1554"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期末余额/本期发生额</w:t>
            </w:r>
          </w:p>
        </w:tc>
        <w:tc>
          <w:tcPr>
            <w:tcW w:w="1665" w:type="pct"/>
            <w:shd w:val="clear" w:color="auto" w:fill="D3D3D3"/>
            <w:vAlign w:val="center"/>
          </w:tcPr>
          <w:p w:rsidR="00403CD6" w:rsidRDefault="00E91A59">
            <w:pPr>
              <w:spacing w:before="40" w:after="40"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期初余额/上期发生额</w:t>
            </w:r>
          </w:p>
        </w:tc>
      </w:tr>
      <w:tr w:rsidR="00403CD6">
        <w:trPr>
          <w:trHeight w:val="284"/>
        </w:trPr>
        <w:tc>
          <w:tcPr>
            <w:tcW w:w="1781" w:type="pct"/>
            <w:vMerge/>
            <w:vAlign w:val="center"/>
          </w:tcPr>
          <w:p w:rsidR="00403CD6" w:rsidRDefault="00403CD6">
            <w:pPr>
              <w:widowControl/>
              <w:rPr>
                <w:rFonts w:asciiTheme="minorEastAsia" w:hAnsiTheme="minorEastAsia" w:cstheme="minorEastAsia"/>
                <w:sz w:val="18"/>
                <w:szCs w:val="18"/>
              </w:rPr>
            </w:pPr>
          </w:p>
        </w:tc>
        <w:tc>
          <w:tcPr>
            <w:tcW w:w="1554" w:type="pct"/>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广东南粤银行股份有限公司</w:t>
            </w:r>
          </w:p>
        </w:tc>
        <w:tc>
          <w:tcPr>
            <w:tcW w:w="1665" w:type="pct"/>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广东南粤银行股份有限公司</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lastRenderedPageBreak/>
              <w:t>流动资产</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195,708,622,711.11</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194,828,415,917.54</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非流动资产</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132,561,137,018.86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111,581,185,310.11</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资产合计</w:t>
            </w:r>
          </w:p>
        </w:tc>
        <w:tc>
          <w:tcPr>
            <w:tcW w:w="1554"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328,269,759,729.97</w:t>
            </w:r>
          </w:p>
        </w:tc>
        <w:tc>
          <w:tcPr>
            <w:tcW w:w="1665"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306,409,601,227.65</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流动负债</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273,238,389,155.39</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250,233,916,389.30</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非流动负债</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24,657,998,149.20</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26,252,549,634.28</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负债合计</w:t>
            </w:r>
          </w:p>
        </w:tc>
        <w:tc>
          <w:tcPr>
            <w:tcW w:w="1554"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297,896,387,304.59</w:t>
            </w:r>
          </w:p>
        </w:tc>
        <w:tc>
          <w:tcPr>
            <w:tcW w:w="1665"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276,486,466,023.58</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净资产</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30,373,372,425.38</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29,923,135,204.07</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其中：少数股东权益</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68,358,275.97</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归属于母公司的所有者权益</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30,373,372,425.38</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29,854,776,928.10</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按持股比例计算的净资产份额</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1,354,652,410.17</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1,331,523,051.00</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调整事项</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其中：商誉</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bCs/>
                <w:sz w:val="18"/>
                <w:szCs w:val="18"/>
              </w:rPr>
            </w:pPr>
            <w:r>
              <w:rPr>
                <w:rFonts w:asciiTheme="minorEastAsia" w:hAnsiTheme="minorEastAsia" w:cstheme="minorEastAsia" w:hint="eastAsia"/>
                <w:bCs/>
                <w:sz w:val="18"/>
                <w:szCs w:val="18"/>
              </w:rPr>
              <w:t>对联营企业权益投资的账面价值</w:t>
            </w:r>
          </w:p>
        </w:tc>
        <w:tc>
          <w:tcPr>
            <w:tcW w:w="1554"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1,354,652,410.17</w:t>
            </w:r>
          </w:p>
        </w:tc>
        <w:tc>
          <w:tcPr>
            <w:tcW w:w="1665"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1,331,523,051.00</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存在公开报价的权益投资的公允价值</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营业收入</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2,784,608,144.97</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2,739,283,882.64</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净利润</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420,235,807.79</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416,331,873.52</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其他综合收益</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142,835,713.60</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-9,346,709.52</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综合收益总额</w:t>
            </w:r>
          </w:p>
        </w:tc>
        <w:tc>
          <w:tcPr>
            <w:tcW w:w="15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563,071,521.39</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406,985,164.00</w:t>
            </w:r>
          </w:p>
        </w:tc>
      </w:tr>
      <w:tr w:rsidR="00403CD6">
        <w:trPr>
          <w:trHeight w:val="284"/>
        </w:trPr>
        <w:tc>
          <w:tcPr>
            <w:tcW w:w="1781" w:type="pct"/>
            <w:shd w:val="clear" w:color="auto" w:fill="D8D8D8" w:themeFill="background1" w:themeFillShade="D8"/>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企业本期收到的来自联营企业的股利</w:t>
            </w:r>
          </w:p>
        </w:tc>
        <w:tc>
          <w:tcPr>
            <w:tcW w:w="1554"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（4） 不重要的合营企业和联营企业的汇总财务信息</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403CD6"/>
        </w:tc>
        <w:tc>
          <w:tcPr>
            <w:tcW w:w="166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期末余额/本期发生额</w:t>
            </w:r>
          </w:p>
        </w:tc>
        <w:tc>
          <w:tcPr>
            <w:tcW w:w="1665"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期初余额/上期发生额</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合营企业：</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投资账面价值合计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192,441,660.84</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197,483,273.06 </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下列各项按持股比例计算的合计数 </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净利润</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8,537,278.56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16,545,813.91 </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其他综合收益</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综合收益总额</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8,537,278.56</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16,545,813.91 </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联营企业：</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投资账面价值合计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644,850,163.97</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811,622,814.12 </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下列各项按持股比例计算的合计数 </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净利润</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-151,193,462.54</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102,840,690.39 </w:t>
            </w: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其他综合收益</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D8D8D8" w:themeFill="background1" w:themeFillShade="D8"/>
            <w:vAlign w:val="center"/>
          </w:tcPr>
          <w:p w:rsidR="00403CD6" w:rsidRDefault="00E91A59">
            <w:pPr>
              <w:snapToGrid w:val="0"/>
              <w:rPr>
                <w:rFonts w:asciiTheme="minorEastAsia" w:hAnsiTheme="minorEastAsia" w:cstheme="minorEastAsia"/>
                <w:bCs/>
                <w:sz w:val="18"/>
                <w:szCs w:val="18"/>
              </w:rPr>
            </w:pPr>
            <w:r>
              <w:rPr>
                <w:rFonts w:asciiTheme="minorEastAsia" w:hAnsiTheme="minorEastAsia" w:cstheme="minorEastAsia" w:hint="eastAsia"/>
                <w:bCs/>
                <w:sz w:val="18"/>
                <w:szCs w:val="18"/>
              </w:rPr>
              <w:t xml:space="preserve">  综合收益总额</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-151,193,462.54</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102,840,690.39 </w:t>
            </w:r>
          </w:p>
        </w:tc>
      </w:tr>
    </w:tbl>
    <w:p w:rsidR="00403CD6" w:rsidRDefault="00E91A59">
      <w:pPr>
        <w:pStyle w:val="2"/>
        <w:spacing w:before="300" w:after="300" w:line="320" w:lineRule="exact"/>
        <w:rPr>
          <w:rFonts w:ascii="宋体" w:eastAsia="宋体" w:hAnsi="宋体" w:cs="宋体"/>
          <w:b/>
          <w:bCs/>
          <w:sz w:val="24"/>
          <w:szCs w:val="24"/>
        </w:rPr>
      </w:pPr>
      <w:bookmarkStart w:id="130" w:name="_Toc989456"/>
      <w:r>
        <w:rPr>
          <w:rFonts w:ascii="宋体" w:eastAsia="宋体" w:hAnsi="宋体" w:cs="宋体" w:hint="eastAsia"/>
          <w:b/>
          <w:bCs/>
          <w:sz w:val="24"/>
          <w:szCs w:val="24"/>
        </w:rPr>
        <w:t>十一、政府补助</w:t>
      </w:r>
      <w:bookmarkEnd w:id="130"/>
    </w:p>
    <w:p w:rsidR="00403CD6" w:rsidRDefault="00E91A59">
      <w:pPr>
        <w:keepNext/>
        <w:keepLines/>
        <w:spacing w:before="300" w:after="300" w:line="280" w:lineRule="exact"/>
        <w:outlineLvl w:val="2"/>
        <w:rPr>
          <w:rFonts w:ascii="宋体" w:eastAsia="宋体" w:hAnsi="宋体" w:cs="宋体"/>
          <w:b/>
          <w:bCs/>
          <w:szCs w:val="21"/>
        </w:rPr>
      </w:pPr>
      <w:bookmarkStart w:id="131" w:name="_Toc989457"/>
      <w:r>
        <w:rPr>
          <w:rFonts w:ascii="宋体" w:eastAsia="宋体" w:hAnsi="宋体" w:cs="宋体" w:hint="eastAsia"/>
          <w:b/>
          <w:bCs/>
          <w:szCs w:val="21"/>
        </w:rPr>
        <w:t>1、报告期末按应收金额确认的政府补助</w:t>
      </w:r>
      <w:bookmarkEnd w:id="131"/>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line="240" w:lineRule="exact"/>
        <w:rPr>
          <w:rFonts w:ascii="宋体" w:eastAsia="宋体" w:hAnsi="宋体" w:cs="宋体"/>
          <w:sz w:val="18"/>
          <w:szCs w:val="18"/>
        </w:rPr>
      </w:pPr>
      <w:r>
        <w:rPr>
          <w:rFonts w:ascii="宋体" w:eastAsia="宋体" w:hAnsi="宋体" w:cs="宋体" w:hint="eastAsia"/>
          <w:sz w:val="18"/>
          <w:szCs w:val="18"/>
        </w:rPr>
        <w:t>未能在预计时点收到预计金额的政府补助的原因</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bookmarkStart w:id="132" w:name="_Toc989458"/>
      <w:r>
        <w:rPr>
          <w:rFonts w:ascii="宋体" w:eastAsia="宋体" w:hAnsi="宋体" w:cs="宋体" w:hint="eastAsia"/>
          <w:b/>
          <w:bCs/>
          <w:szCs w:val="21"/>
        </w:rPr>
        <w:lastRenderedPageBreak/>
        <w:t>2、涉及政府补助的负债项目</w:t>
      </w:r>
      <w:bookmarkEnd w:id="132"/>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1"/>
        <w:gridCol w:w="1024"/>
        <w:gridCol w:w="1238"/>
        <w:gridCol w:w="1023"/>
        <w:gridCol w:w="911"/>
        <w:gridCol w:w="1238"/>
        <w:gridCol w:w="1039"/>
        <w:gridCol w:w="1263"/>
        <w:gridCol w:w="762"/>
      </w:tblGrid>
      <w:tr w:rsidR="00403CD6">
        <w:trPr>
          <w:trHeight w:val="284"/>
        </w:trPr>
        <w:tc>
          <w:tcPr>
            <w:tcW w:w="681"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Times New Roman" w:eastAsia="宋体" w:hAnsi="Times New Roman" w:cs="Times New Roman" w:hint="eastAsia"/>
                <w:sz w:val="18"/>
                <w:szCs w:val="18"/>
              </w:rPr>
              <w:t>补助项目</w:t>
            </w:r>
          </w:p>
        </w:tc>
        <w:tc>
          <w:tcPr>
            <w:tcW w:w="52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会计科目</w:t>
            </w:r>
          </w:p>
        </w:tc>
        <w:tc>
          <w:tcPr>
            <w:tcW w:w="62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期初余额</w:t>
            </w:r>
          </w:p>
        </w:tc>
        <w:tc>
          <w:tcPr>
            <w:tcW w:w="52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本期新增补助金额</w:t>
            </w:r>
          </w:p>
        </w:tc>
        <w:tc>
          <w:tcPr>
            <w:tcW w:w="463"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本期计入营业外收入金额</w:t>
            </w:r>
          </w:p>
        </w:tc>
        <w:tc>
          <w:tcPr>
            <w:tcW w:w="629"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本期转入其他收益金额</w:t>
            </w:r>
          </w:p>
        </w:tc>
        <w:tc>
          <w:tcPr>
            <w:tcW w:w="528"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本期其他变动</w:t>
            </w:r>
          </w:p>
        </w:tc>
        <w:tc>
          <w:tcPr>
            <w:tcW w:w="642"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期末余额</w:t>
            </w:r>
          </w:p>
        </w:tc>
        <w:tc>
          <w:tcPr>
            <w:tcW w:w="387"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与资产/收益相关</w:t>
            </w:r>
          </w:p>
        </w:tc>
      </w:tr>
      <w:tr w:rsidR="00403CD6">
        <w:trPr>
          <w:trHeight w:val="284"/>
        </w:trPr>
        <w:tc>
          <w:tcPr>
            <w:tcW w:w="681"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环境保护资金补助</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524,694,035.24</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4,500,000.00</w:t>
            </w: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50,778,082.72</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478,415,952.52</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黄冈林浆纸一体化项目</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445,968,305.25</w:t>
            </w:r>
          </w:p>
        </w:tc>
        <w:tc>
          <w:tcPr>
            <w:tcW w:w="520" w:type="pct"/>
            <w:shd w:val="clear" w:color="auto" w:fill="auto"/>
            <w:vAlign w:val="center"/>
          </w:tcPr>
          <w:p w:rsidR="00403CD6" w:rsidRDefault="00403CD6">
            <w:pPr>
              <w:jc w:val="right"/>
              <w:rPr>
                <w:rFonts w:ascii="Times New Roman" w:hAnsi="Times New Roman" w:cs="Times New Roman"/>
                <w:sz w:val="18"/>
                <w:szCs w:val="18"/>
              </w:rPr>
            </w:pP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25,026,217.80</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420,942,087.45</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基础设施及环保工程</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196,803,377.25</w:t>
            </w:r>
          </w:p>
        </w:tc>
        <w:tc>
          <w:tcPr>
            <w:tcW w:w="520" w:type="pct"/>
            <w:shd w:val="clear" w:color="auto" w:fill="auto"/>
            <w:vAlign w:val="center"/>
          </w:tcPr>
          <w:p w:rsidR="00403CD6" w:rsidRDefault="00403CD6">
            <w:pPr>
              <w:jc w:val="right"/>
              <w:rPr>
                <w:rFonts w:ascii="Times New Roman" w:hAnsi="Times New Roman" w:cs="Times New Roman"/>
                <w:sz w:val="18"/>
                <w:szCs w:val="18"/>
              </w:rPr>
            </w:pP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11,517,589.45</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185,285,787.80</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技改项目财政补助</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95,106,015.68</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3,270,000.00</w:t>
            </w: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8,958,104.96</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89,417,910.72</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shd w:val="clear" w:color="auto" w:fill="auto"/>
            <w:vAlign w:val="center"/>
          </w:tcPr>
          <w:p w:rsidR="00403CD6" w:rsidRDefault="00E91A59">
            <w:pPr>
              <w:rPr>
                <w:rFonts w:asciiTheme="minorEastAsia" w:hAnsiTheme="minorEastAsia" w:cstheme="minorEastAsia"/>
                <w:sz w:val="18"/>
                <w:szCs w:val="18"/>
                <w:highlight w:val="yellow"/>
              </w:rPr>
            </w:pPr>
            <w:proofErr w:type="gramStart"/>
            <w:r>
              <w:rPr>
                <w:rFonts w:asciiTheme="minorEastAsia" w:hAnsiTheme="minorEastAsia" w:cstheme="minorEastAsia" w:hint="eastAsia"/>
                <w:sz w:val="18"/>
                <w:szCs w:val="18"/>
              </w:rPr>
              <w:t>湛江林</w:t>
            </w:r>
            <w:proofErr w:type="gramEnd"/>
            <w:r>
              <w:rPr>
                <w:rFonts w:asciiTheme="minorEastAsia" w:hAnsiTheme="minorEastAsia" w:cstheme="minorEastAsia" w:hint="eastAsia"/>
                <w:sz w:val="18"/>
                <w:szCs w:val="18"/>
              </w:rPr>
              <w:t>浆纸一体化项目</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42,617,331.35</w:t>
            </w:r>
          </w:p>
        </w:tc>
        <w:tc>
          <w:tcPr>
            <w:tcW w:w="520" w:type="pct"/>
            <w:shd w:val="clear" w:color="auto" w:fill="auto"/>
            <w:vAlign w:val="center"/>
          </w:tcPr>
          <w:p w:rsidR="00403CD6" w:rsidRDefault="00403CD6">
            <w:pPr>
              <w:jc w:val="right"/>
              <w:rPr>
                <w:rFonts w:ascii="Times New Roman" w:hAnsi="Times New Roman" w:cs="Times New Roman"/>
                <w:sz w:val="18"/>
                <w:szCs w:val="18"/>
              </w:rPr>
            </w:pP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4,094,632.92</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38,522,698.43</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tcBorders>
              <w:bottom w:val="single" w:sz="4" w:space="0" w:color="auto"/>
            </w:tcBorders>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国家科技支撑计划课题经费</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793,725.00</w:t>
            </w:r>
          </w:p>
        </w:tc>
        <w:tc>
          <w:tcPr>
            <w:tcW w:w="520" w:type="pct"/>
            <w:shd w:val="clear" w:color="auto" w:fill="auto"/>
            <w:vAlign w:val="center"/>
          </w:tcPr>
          <w:p w:rsidR="00403CD6" w:rsidRDefault="00403CD6">
            <w:pPr>
              <w:jc w:val="right"/>
              <w:rPr>
                <w:rFonts w:ascii="Times New Roman" w:hAnsi="Times New Roman" w:cs="Times New Roman"/>
                <w:sz w:val="18"/>
                <w:szCs w:val="18"/>
              </w:rPr>
            </w:pP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164,700.00</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629,025.00</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tcBorders>
              <w:bottom w:val="single" w:sz="4" w:space="0" w:color="auto"/>
            </w:tcBorders>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sz w:val="18"/>
                <w:szCs w:val="18"/>
              </w:rPr>
              <w:t>其他</w:t>
            </w:r>
          </w:p>
        </w:tc>
        <w:tc>
          <w:tcPr>
            <w:tcW w:w="520" w:type="pct"/>
            <w:shd w:val="clear" w:color="auto" w:fill="auto"/>
            <w:vAlign w:val="center"/>
          </w:tcPr>
          <w:p w:rsidR="00403CD6" w:rsidRDefault="00E91A59">
            <w:pPr>
              <w:spacing w:before="40" w:after="40" w:line="240" w:lineRule="exact"/>
              <w:rPr>
                <w:rFonts w:asciiTheme="minorEastAsia" w:hAnsiTheme="minorEastAsia" w:cstheme="minorEastAsia"/>
                <w:sz w:val="18"/>
                <w:szCs w:val="18"/>
              </w:rPr>
            </w:pPr>
            <w:r>
              <w:rPr>
                <w:rFonts w:asciiTheme="minorEastAsia" w:hAnsiTheme="minorEastAsia" w:cstheme="minorEastAsia" w:hint="eastAsia"/>
                <w:sz w:val="18"/>
                <w:szCs w:val="18"/>
              </w:rPr>
              <w:t>递延收益</w:t>
            </w: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31,881,324.93</w:t>
            </w:r>
          </w:p>
        </w:tc>
        <w:tc>
          <w:tcPr>
            <w:tcW w:w="520" w:type="pct"/>
            <w:shd w:val="clear" w:color="auto" w:fill="auto"/>
            <w:vAlign w:val="center"/>
          </w:tcPr>
          <w:p w:rsidR="00403CD6" w:rsidRDefault="00403CD6">
            <w:pPr>
              <w:jc w:val="right"/>
              <w:rPr>
                <w:rFonts w:ascii="Times New Roman" w:hAnsi="Times New Roman" w:cs="Times New Roman"/>
                <w:sz w:val="18"/>
                <w:szCs w:val="18"/>
              </w:rPr>
            </w:pP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4,155,301.33</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27,726,023.60</w:t>
            </w:r>
          </w:p>
        </w:tc>
        <w:tc>
          <w:tcPr>
            <w:tcW w:w="387" w:type="pct"/>
            <w:shd w:val="clear" w:color="auto" w:fill="auto"/>
            <w:vAlign w:val="center"/>
          </w:tcPr>
          <w:p w:rsidR="00403CD6" w:rsidRDefault="00E91A59">
            <w:pPr>
              <w:spacing w:line="240" w:lineRule="exact"/>
              <w:rPr>
                <w:rFonts w:asciiTheme="minorEastAsia" w:hAnsiTheme="minorEastAsia" w:cstheme="minorEastAsia"/>
                <w:sz w:val="18"/>
                <w:szCs w:val="18"/>
              </w:rPr>
            </w:pPr>
            <w:r>
              <w:rPr>
                <w:rFonts w:asciiTheme="minorEastAsia" w:hAnsiTheme="minorEastAsia" w:cstheme="minorEastAsia" w:hint="eastAsia"/>
                <w:sz w:val="18"/>
                <w:szCs w:val="18"/>
              </w:rPr>
              <w:t>与资产相关</w:t>
            </w:r>
          </w:p>
        </w:tc>
      </w:tr>
      <w:tr w:rsidR="00403CD6">
        <w:trPr>
          <w:trHeight w:val="284"/>
        </w:trPr>
        <w:tc>
          <w:tcPr>
            <w:tcW w:w="681" w:type="pct"/>
            <w:shd w:val="clear" w:color="auto" w:fill="D9D9D9" w:themeFill="background1" w:themeFillShade="D9"/>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520" w:type="pct"/>
            <w:shd w:val="clear" w:color="auto" w:fill="auto"/>
            <w:vAlign w:val="center"/>
          </w:tcPr>
          <w:p w:rsidR="00403CD6" w:rsidRDefault="00403CD6">
            <w:pPr>
              <w:spacing w:line="240" w:lineRule="exact"/>
              <w:rPr>
                <w:rFonts w:asciiTheme="minorEastAsia" w:hAnsiTheme="minorEastAsia" w:cstheme="minorEastAsia"/>
                <w:sz w:val="18"/>
                <w:szCs w:val="18"/>
              </w:rPr>
            </w:pPr>
          </w:p>
        </w:tc>
        <w:tc>
          <w:tcPr>
            <w:tcW w:w="62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1,337,864,114.70</w:t>
            </w:r>
          </w:p>
        </w:tc>
        <w:tc>
          <w:tcPr>
            <w:tcW w:w="520" w:type="pct"/>
            <w:shd w:val="clear" w:color="auto" w:fill="auto"/>
            <w:vAlign w:val="center"/>
          </w:tcPr>
          <w:p w:rsidR="00403CD6" w:rsidRDefault="00E91A59">
            <w:pPr>
              <w:jc w:val="right"/>
              <w:rPr>
                <w:rFonts w:ascii="Times New Roman" w:hAnsi="Times New Roman" w:cs="Times New Roman"/>
                <w:sz w:val="18"/>
                <w:szCs w:val="18"/>
              </w:rPr>
            </w:pPr>
            <w:r>
              <w:rPr>
                <w:rFonts w:hint="eastAsia"/>
              </w:rPr>
              <w:t>7,770,000.00</w:t>
            </w:r>
          </w:p>
        </w:tc>
        <w:tc>
          <w:tcPr>
            <w:tcW w:w="463"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29" w:type="pct"/>
            <w:shd w:val="clear" w:color="auto" w:fill="auto"/>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104,</w:t>
            </w:r>
            <w:r>
              <w:rPr>
                <w:rFonts w:ascii="Times New Roman" w:hAnsi="Times New Roman" w:cs="Times New Roman" w:hint="eastAsia"/>
                <w:sz w:val="18"/>
                <w:szCs w:val="18"/>
              </w:rPr>
              <w:t>6</w:t>
            </w:r>
            <w:r>
              <w:rPr>
                <w:rFonts w:ascii="Times New Roman" w:hAnsi="Times New Roman" w:cs="Times New Roman"/>
                <w:sz w:val="18"/>
                <w:szCs w:val="18"/>
              </w:rPr>
              <w:t>94,629.18</w:t>
            </w:r>
          </w:p>
        </w:tc>
        <w:tc>
          <w:tcPr>
            <w:tcW w:w="528"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642" w:type="pct"/>
            <w:shd w:val="clear" w:color="auto" w:fill="auto"/>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1,240,939,485.52</w:t>
            </w:r>
          </w:p>
        </w:tc>
        <w:tc>
          <w:tcPr>
            <w:tcW w:w="387" w:type="pct"/>
            <w:shd w:val="clear" w:color="auto" w:fill="auto"/>
            <w:vAlign w:val="center"/>
          </w:tcPr>
          <w:p w:rsidR="00403CD6" w:rsidRDefault="00403CD6">
            <w:pPr>
              <w:spacing w:line="240" w:lineRule="exact"/>
              <w:rPr>
                <w:rFonts w:asciiTheme="minorEastAsia" w:hAnsiTheme="minorEastAsia" w:cstheme="minorEastAsia"/>
                <w:sz w:val="18"/>
                <w:szCs w:val="18"/>
              </w:rPr>
            </w:pPr>
          </w:p>
        </w:tc>
      </w:tr>
    </w:tbl>
    <w:p w:rsidR="00403CD6" w:rsidRDefault="00E91A59">
      <w:pPr>
        <w:keepNext/>
        <w:keepLines/>
        <w:spacing w:before="300" w:after="300" w:line="280" w:lineRule="exact"/>
        <w:outlineLvl w:val="2"/>
        <w:rPr>
          <w:rFonts w:ascii="宋体" w:eastAsia="宋体" w:hAnsi="宋体" w:cs="宋体"/>
          <w:b/>
          <w:bCs/>
          <w:szCs w:val="21"/>
        </w:rPr>
      </w:pPr>
      <w:bookmarkStart w:id="133" w:name="_Toc989459"/>
      <w:r>
        <w:rPr>
          <w:rFonts w:ascii="宋体" w:eastAsia="宋体" w:hAnsi="宋体" w:cs="宋体" w:hint="eastAsia"/>
          <w:b/>
          <w:bCs/>
          <w:szCs w:val="21"/>
        </w:rPr>
        <w:t>3、计入当期损益的政府补助</w:t>
      </w:r>
      <w:bookmarkEnd w:id="133"/>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2"/>
        <w:gridCol w:w="2179"/>
        <w:gridCol w:w="2751"/>
        <w:gridCol w:w="2461"/>
      </w:tblGrid>
      <w:tr w:rsidR="00403CD6">
        <w:trPr>
          <w:trHeight w:val="284"/>
        </w:trPr>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hint="eastAsia"/>
                <w:sz w:val="18"/>
                <w:szCs w:val="18"/>
              </w:rPr>
              <w:t>补助项目</w:t>
            </w:r>
          </w:p>
        </w:tc>
        <w:tc>
          <w:tcPr>
            <w:tcW w:w="11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会计科目</w:t>
            </w:r>
          </w:p>
        </w:tc>
        <w:tc>
          <w:tcPr>
            <w:tcW w:w="139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24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sz w:val="18"/>
                <w:szCs w:val="18"/>
              </w:rPr>
              <w:t>环境保护资金补助</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50,778,082.72</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51,761,248.56</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sz w:val="18"/>
                <w:szCs w:val="18"/>
              </w:rPr>
              <w:t>黄冈林浆纸一体化项目</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25,026,217.80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25,026,217.80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sz w:val="18"/>
                <w:szCs w:val="18"/>
              </w:rPr>
              <w:t>污水处理及节水改造项目</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11,517,589.45</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11,517,589.44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sz w:val="18"/>
                <w:szCs w:val="18"/>
              </w:rPr>
              <w:t>技改项目财政补助</w:t>
            </w:r>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8,958,104.96</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39,699,264.96</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现代商贸业发展专项资金</w:t>
            </w:r>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4,946,000.00</w:t>
            </w:r>
          </w:p>
        </w:tc>
        <w:tc>
          <w:tcPr>
            <w:tcW w:w="1249"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proofErr w:type="gramStart"/>
            <w:r>
              <w:rPr>
                <w:rFonts w:asciiTheme="minorEastAsia" w:hAnsiTheme="minorEastAsia" w:cstheme="minorEastAsia" w:hint="eastAsia"/>
                <w:sz w:val="18"/>
                <w:szCs w:val="18"/>
              </w:rPr>
              <w:t>湛江林</w:t>
            </w:r>
            <w:proofErr w:type="gramEnd"/>
            <w:r>
              <w:rPr>
                <w:rFonts w:asciiTheme="minorEastAsia" w:hAnsiTheme="minorEastAsia" w:cstheme="minorEastAsia" w:hint="eastAsia"/>
                <w:sz w:val="18"/>
                <w:szCs w:val="18"/>
              </w:rPr>
              <w:t>浆纸一体化项目</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4,094,632.92</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4,094,632.92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rPr>
            </w:pPr>
            <w:proofErr w:type="gramStart"/>
            <w:r>
              <w:rPr>
                <w:rFonts w:asciiTheme="minorEastAsia" w:hAnsiTheme="minorEastAsia" w:cstheme="minorEastAsia" w:hint="eastAsia"/>
                <w:color w:val="000000"/>
                <w:sz w:val="18"/>
                <w:szCs w:val="18"/>
              </w:rPr>
              <w:t>稳岗补贴</w:t>
            </w:r>
            <w:proofErr w:type="gramEnd"/>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3,388,129.28</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1,143,782.30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rPr>
            </w:pPr>
            <w:r>
              <w:rPr>
                <w:rFonts w:asciiTheme="minorEastAsia" w:hAnsiTheme="minorEastAsia" w:cstheme="minorEastAsia" w:hint="eastAsia"/>
                <w:color w:val="000000"/>
                <w:sz w:val="18"/>
                <w:szCs w:val="18"/>
              </w:rPr>
              <w:t>政府奖励</w:t>
            </w:r>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3,153,800.00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13,580,000.00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外贸专项补助</w:t>
            </w:r>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2,660,000.00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11,140,000.00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造林补贴</w:t>
            </w:r>
          </w:p>
        </w:tc>
        <w:tc>
          <w:tcPr>
            <w:tcW w:w="1106" w:type="pct"/>
            <w:shd w:val="clear" w:color="auto" w:fill="auto"/>
            <w:vAlign w:val="center"/>
          </w:tcPr>
          <w:p w:rsidR="00403CD6" w:rsidRDefault="00E91A59">
            <w:pPr>
              <w:jc w:val="center"/>
              <w:rPr>
                <w:rFonts w:asciiTheme="minorEastAsia" w:hAnsiTheme="minorEastAsia" w:cstheme="minorEastAsia"/>
                <w:color w:val="00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1,032,091.00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4,487,983.85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sz w:val="18"/>
                <w:szCs w:val="18"/>
              </w:rPr>
              <w:t>国家科技支撑计划课题经费</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164,700.00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164,700.00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产业发展补助</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117,967.00</w:t>
            </w:r>
          </w:p>
        </w:tc>
        <w:tc>
          <w:tcPr>
            <w:tcW w:w="1249"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增值税即征即退</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3,186,241.18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企业改革发展补助</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904,184.00</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社保补贴</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46,689.71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研发补助</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4,000.00 </w:t>
            </w:r>
          </w:p>
        </w:tc>
      </w:tr>
      <w:tr w:rsidR="00403CD6">
        <w:trPr>
          <w:trHeight w:val="284"/>
        </w:trPr>
        <w:tc>
          <w:tcPr>
            <w:tcW w:w="1249" w:type="pct"/>
            <w:shd w:val="clear" w:color="auto" w:fill="auto"/>
            <w:vAlign w:val="center"/>
          </w:tcPr>
          <w:p w:rsidR="00403CD6" w:rsidRDefault="00E91A59">
            <w:pPr>
              <w:rPr>
                <w:rFonts w:asciiTheme="minorEastAsia" w:hAnsiTheme="minorEastAsia" w:cstheme="minorEastAsia"/>
                <w:sz w:val="18"/>
                <w:szCs w:val="18"/>
                <w:highlight w:val="yellow"/>
              </w:rPr>
            </w:pPr>
            <w:r>
              <w:rPr>
                <w:rFonts w:asciiTheme="minorEastAsia" w:hAnsiTheme="minorEastAsia" w:cstheme="minorEastAsia" w:hint="eastAsia"/>
                <w:color w:val="000000"/>
                <w:sz w:val="18"/>
                <w:szCs w:val="18"/>
              </w:rPr>
              <w:t>其他</w:t>
            </w:r>
          </w:p>
        </w:tc>
        <w:tc>
          <w:tcPr>
            <w:tcW w:w="1106" w:type="pct"/>
            <w:shd w:val="clear" w:color="auto" w:fill="auto"/>
            <w:vAlign w:val="center"/>
          </w:tcPr>
          <w:p w:rsidR="00403CD6" w:rsidRDefault="00E91A59">
            <w:pPr>
              <w:jc w:val="center"/>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其他收益</w:t>
            </w:r>
          </w:p>
        </w:tc>
        <w:tc>
          <w:tcPr>
            <w:tcW w:w="139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4,665,388.54</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3,221,744.73</w:t>
            </w:r>
          </w:p>
        </w:tc>
      </w:tr>
      <w:tr w:rsidR="00403CD6">
        <w:trPr>
          <w:trHeight w:val="284"/>
        </w:trPr>
        <w:tc>
          <w:tcPr>
            <w:tcW w:w="1249" w:type="pct"/>
            <w:shd w:val="clear" w:color="auto" w:fill="D9D9D9" w:themeFill="background1" w:themeFillShade="D9"/>
            <w:vAlign w:val="center"/>
          </w:tcPr>
          <w:p w:rsidR="00403CD6" w:rsidRDefault="00E91A59">
            <w:pPr>
              <w:spacing w:line="240" w:lineRule="exact"/>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1106" w:type="pct"/>
            <w:shd w:val="clear" w:color="auto" w:fill="D9D9D9" w:themeFill="background1" w:themeFillShade="D9"/>
            <w:vAlign w:val="center"/>
          </w:tcPr>
          <w:p w:rsidR="00403CD6" w:rsidRDefault="00403CD6">
            <w:pPr>
              <w:spacing w:line="240" w:lineRule="exact"/>
              <w:jc w:val="center"/>
              <w:rPr>
                <w:rFonts w:asciiTheme="minorEastAsia" w:hAnsiTheme="minorEastAsia" w:cstheme="minorEastAsia"/>
                <w:sz w:val="18"/>
                <w:szCs w:val="18"/>
              </w:rPr>
            </w:pPr>
          </w:p>
        </w:tc>
        <w:tc>
          <w:tcPr>
            <w:tcW w:w="1396"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120,502,703.67</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169,978,279.45</w:t>
            </w:r>
          </w:p>
        </w:tc>
      </w:tr>
    </w:tbl>
    <w:p w:rsidR="00403CD6" w:rsidRDefault="00E91A59">
      <w:pPr>
        <w:pStyle w:val="2"/>
        <w:spacing w:before="300" w:after="300" w:line="320" w:lineRule="exact"/>
        <w:rPr>
          <w:rFonts w:ascii="宋体" w:eastAsia="宋体" w:hAnsi="宋体" w:cs="宋体"/>
          <w:b/>
          <w:bCs/>
          <w:sz w:val="24"/>
          <w:szCs w:val="24"/>
        </w:rPr>
      </w:pPr>
      <w:bookmarkStart w:id="134" w:name="_Toc989460"/>
      <w:r>
        <w:rPr>
          <w:rFonts w:ascii="宋体" w:eastAsia="宋体" w:hAnsi="宋体" w:cs="宋体" w:hint="eastAsia"/>
          <w:b/>
          <w:bCs/>
          <w:sz w:val="24"/>
          <w:szCs w:val="24"/>
        </w:rPr>
        <w:lastRenderedPageBreak/>
        <w:t>十二、与金融工具相关的风险</w:t>
      </w:r>
      <w:bookmarkEnd w:id="134"/>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的主要金融工具包括货币资金、应收票据、应收账款、应收款项融资、其他应收款、一年内到期的非流动资产、其他流动资产、交易性金融资产、其他非流动金融资产、长期应收款、应付票据、应付账款、其他应付款、短期借款、交易性金融负债、一年内到期的非流动负债、长期借款、租赁负债及长期应付款。各项金融工具的详细情况已于相关附注内披露。与这些金融工具有关的风险，以及本公司为降低这些风险所采取的风险管理政策如下所述。本公司管理层对这些风险敞口进行管理和监控以确保将上述风险控制在限定的范围之内。</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b/>
          <w:bCs/>
          <w:szCs w:val="21"/>
        </w:rPr>
        <w:t>1、风险管理目标和政策</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本公司的金融工具导致的主要风险是信用风险、流动性风险、市场风险（包括汇率风险、利率风险和商品价格风险）。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从事风险管理的目标是在风险和收益之间取得适当的平衡，力求降低金融风险对本公司财务业绩的不利影响。基于该风险管理目标，本公司已制定风险管理政策以辨别和分析本公司所面临的风险，设定适当的风险可接受水平并设计相应的内部控制程序，以监控本公司的风险水平。本公司会定期审阅这些风险管理政策及有关内部控制系统，以适应市场情况或本公司经营活动的改变。本公司的内部审计部门也定期或随机检查内部控制系统的执行是否符合风险管理政策。</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董事会负责规划并建立本公司的风险管理架构，制定本公司的风险管理政策和相关指引并监督风险管理措施的执行情况。本公司已制定风险管理政策以识别和分析本公司所面临的风险，这些风险管理政策对特定风险进行了明确规定，涵盖了市场风险、信用风险和流动性风险管理等诸多方面。本公司定期评估市场环境及本公司经营活动的变化以决定是否对风险管理政策及系统进行更新。本公司的风险管理</w:t>
      </w:r>
      <w:proofErr w:type="gramStart"/>
      <w:r>
        <w:rPr>
          <w:rFonts w:ascii="Times New Roman" w:eastAsiaTheme="minorEastAsia" w:hAnsi="Times New Roman" w:cs="Times New Roman" w:hint="eastAsia"/>
          <w:sz w:val="18"/>
          <w:szCs w:val="18"/>
        </w:rPr>
        <w:t>由风险</w:t>
      </w:r>
      <w:proofErr w:type="gramEnd"/>
      <w:r>
        <w:rPr>
          <w:rFonts w:ascii="Times New Roman" w:eastAsiaTheme="minorEastAsia" w:hAnsi="Times New Roman" w:cs="Times New Roman" w:hint="eastAsia"/>
          <w:sz w:val="18"/>
          <w:szCs w:val="18"/>
        </w:rPr>
        <w:t>管理委员会按照董事会批准的政策开展。风险管理委员会通过与本公司其他业务部门的紧密合作来识别、评价和规避相关风险。本公司内部审计部门就风险管理控制及程序进行定期的审核，并将审核结果上报本公司的审计委员会。</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本公司通过适当的多样化投资及业务组合来分散金融工具风险，并通过制定相应的风险管理政策减少集中于单一行业、特定地区或特定交易对手的风险。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1</w:t>
      </w:r>
      <w:r>
        <w:rPr>
          <w:rFonts w:ascii="Times New Roman" w:eastAsiaTheme="minorEastAsia" w:hAnsi="Times New Roman" w:cs="Times New Roman"/>
          <w:sz w:val="18"/>
          <w:szCs w:val="18"/>
        </w:rPr>
        <w:t>）信用风险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信用风险，是指交易对手未能履行合同义务而导致本公司产生财务损失的风险。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本公司对信用风险按组合分类进行管理。信用风险主要产生于银行存款、应收票据、应收账款、其他应收款、长期应收款等。</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本公司银行存款主要存放于国有银行和其它大中型上市银行，本公司预期银行存款不存在重大的信用风险。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对于应收账款、其他应收款和长期应收款，本公司设定相关政策以控制信用风险敞口。本公司基于对客户的财务状况、信用记录及其他因素诸如目前市场状况等评估客户的信用资质并设置相应信用期。本公司会定期对客户信用记录进行监控，对于信用记录不良的客户，本公司会采用书面催款、缩短信用期或取消信用期等方式，以确保本公司的整体信用风险在可控的范围内。</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本公司应收账款的债务人为分布于不同行业和地区的客户。本公司持续对应收账款的财务状况实施信用评估，并在适当时购买信用担保保险。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本公司所承受的最大信用风险敞口为资产负债表中每项金融资产的账面金额。本公司没有提供任何其他可能令本公司承受信用风险的担保。</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本公司应收账款中，前五大客户的应收</w:t>
      </w:r>
      <w:proofErr w:type="gramStart"/>
      <w:r>
        <w:rPr>
          <w:rFonts w:ascii="Times New Roman" w:eastAsiaTheme="minorEastAsia" w:hAnsi="Times New Roman" w:cs="Times New Roman" w:hint="eastAsia"/>
          <w:sz w:val="18"/>
          <w:szCs w:val="18"/>
        </w:rPr>
        <w:t>账款占</w:t>
      </w:r>
      <w:proofErr w:type="gramEnd"/>
      <w:r>
        <w:rPr>
          <w:rFonts w:ascii="Times New Roman" w:eastAsiaTheme="minorEastAsia" w:hAnsi="Times New Roman" w:cs="Times New Roman" w:hint="eastAsia"/>
          <w:sz w:val="18"/>
          <w:szCs w:val="18"/>
        </w:rPr>
        <w:t>本公司应收账款总额的</w:t>
      </w:r>
      <w:r>
        <w:rPr>
          <w:rFonts w:ascii="Times New Roman" w:eastAsiaTheme="minorEastAsia" w:hAnsi="Times New Roman" w:cs="Times New Roman" w:hint="eastAsia"/>
          <w:sz w:val="18"/>
          <w:szCs w:val="18"/>
        </w:rPr>
        <w:t>39.64%</w:t>
      </w: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36.65%</w:t>
      </w:r>
      <w:r>
        <w:rPr>
          <w:rFonts w:ascii="Times New Roman" w:eastAsiaTheme="minorEastAsia" w:hAnsi="Times New Roman" w:cs="Times New Roman" w:hint="eastAsia"/>
          <w:sz w:val="18"/>
          <w:szCs w:val="18"/>
        </w:rPr>
        <w:t>）；本公司其他应收款中，欠款金额前五大公司的其他应收款占本公司其他应收款总额的</w:t>
      </w:r>
      <w:r>
        <w:rPr>
          <w:rFonts w:ascii="Times New Roman" w:eastAsiaTheme="minorEastAsia" w:hAnsi="Times New Roman" w:cs="Times New Roman" w:hint="eastAsia"/>
          <w:sz w:val="18"/>
          <w:szCs w:val="18"/>
        </w:rPr>
        <w:t>66.28%</w:t>
      </w: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70.32%</w:t>
      </w:r>
      <w:r>
        <w:rPr>
          <w:rFonts w:ascii="Times New Roman" w:eastAsiaTheme="minorEastAsia" w:hAnsi="Times New Roman" w:cs="Times New Roman" w:hint="eastAsia"/>
          <w:sz w:val="18"/>
          <w:szCs w:val="18"/>
        </w:rPr>
        <w:t>）。</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2</w:t>
      </w:r>
      <w:r>
        <w:rPr>
          <w:rFonts w:ascii="Times New Roman" w:eastAsiaTheme="minorEastAsia" w:hAnsi="Times New Roman" w:cs="Times New Roman"/>
          <w:sz w:val="18"/>
          <w:szCs w:val="18"/>
        </w:rPr>
        <w:t>）流动性风险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流动性风险，是指本公司在履行以交付现金或其他金融资产结算的义务时遇到资金短缺的风险。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管理流动风险时，本公司保持管理层认为充分的现金及现金等价物并对其进行监控，以满足本公司经营需要，并降低现金流量波动的影响。本公司管理层对银行借款的使用情况进行监控并确保遵守借款协议。同时从主要金融机构获得提供足够备用资金的承诺，以满足短期和长期的资金需求。</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lastRenderedPageBreak/>
        <w:t>本公司通过经营业务产生的资金及银行及其他借款来筹措营运资金。于</w:t>
      </w: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31</w:t>
      </w:r>
      <w:r>
        <w:rPr>
          <w:rFonts w:ascii="Times New Roman" w:eastAsiaTheme="minorEastAsia" w:hAnsi="Times New Roman" w:cs="Times New Roman" w:hint="eastAsia"/>
          <w:sz w:val="18"/>
          <w:szCs w:val="18"/>
        </w:rPr>
        <w:t>日，本公司尚未使用的银行借款额度为</w:t>
      </w:r>
      <w:r>
        <w:rPr>
          <w:rFonts w:ascii="Times New Roman" w:eastAsiaTheme="minorEastAsia" w:hAnsi="Times New Roman" w:cs="Times New Roman"/>
          <w:sz w:val="18"/>
          <w:szCs w:val="18"/>
        </w:rPr>
        <w:t>1,117,691.88</w:t>
      </w:r>
      <w:r>
        <w:rPr>
          <w:rFonts w:ascii="Times New Roman" w:eastAsiaTheme="minorEastAsia" w:hAnsi="Times New Roman" w:cs="Times New Roman" w:hint="eastAsia"/>
          <w:sz w:val="18"/>
          <w:szCs w:val="18"/>
        </w:rPr>
        <w:t>万元（借款额度已全部冻结，无法使用）（</w:t>
      </w:r>
      <w:r>
        <w:rPr>
          <w:rFonts w:ascii="Times New Roman" w:eastAsiaTheme="minorEastAsia" w:hAnsi="Times New Roman" w:cs="Times New Roman" w:hint="eastAsia"/>
          <w:sz w:val="18"/>
          <w:szCs w:val="18"/>
        </w:rPr>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31</w:t>
      </w:r>
      <w:r>
        <w:rPr>
          <w:rFonts w:ascii="Times New Roman" w:eastAsiaTheme="minorEastAsia" w:hAnsi="Times New Roman" w:cs="Times New Roman" w:hint="eastAsia"/>
          <w:sz w:val="18"/>
          <w:szCs w:val="18"/>
        </w:rPr>
        <w:t>日：</w:t>
      </w:r>
      <w:r>
        <w:rPr>
          <w:rFonts w:ascii="Times New Roman" w:eastAsiaTheme="minorEastAsia" w:hAnsi="Times New Roman" w:cs="Times New Roman" w:hint="eastAsia"/>
          <w:sz w:val="18"/>
          <w:szCs w:val="18"/>
        </w:rPr>
        <w:t>4,413,154.78</w:t>
      </w:r>
      <w:r>
        <w:rPr>
          <w:rFonts w:ascii="Times New Roman" w:eastAsiaTheme="minorEastAsia" w:hAnsi="Times New Roman" w:cs="Times New Roman" w:hint="eastAsia"/>
          <w:sz w:val="18"/>
          <w:szCs w:val="18"/>
        </w:rPr>
        <w:t>万元）。本公司</w:t>
      </w:r>
      <w:r>
        <w:rPr>
          <w:rFonts w:ascii="Times New Roman" w:eastAsiaTheme="minorEastAsia" w:hAnsi="Times New Roman" w:cs="Times New Roman" w:hint="eastAsia"/>
          <w:sz w:val="18"/>
          <w:szCs w:val="18"/>
        </w:rPr>
        <w:t>1</w:t>
      </w:r>
      <w:r>
        <w:rPr>
          <w:rFonts w:ascii="Times New Roman" w:eastAsiaTheme="minorEastAsia" w:hAnsi="Times New Roman" w:cs="Times New Roman" w:hint="eastAsia"/>
          <w:sz w:val="18"/>
          <w:szCs w:val="18"/>
        </w:rPr>
        <w:t>年以内的金融资产期末余额为</w:t>
      </w:r>
      <w:r>
        <w:rPr>
          <w:rFonts w:ascii="Times New Roman" w:eastAsiaTheme="minorEastAsia" w:hAnsi="Times New Roman" w:cs="Times New Roman"/>
          <w:sz w:val="18"/>
          <w:szCs w:val="18"/>
        </w:rPr>
        <w:t>1,754,877.45</w:t>
      </w:r>
      <w:r>
        <w:rPr>
          <w:rFonts w:ascii="Times New Roman" w:eastAsiaTheme="minorEastAsia" w:hAnsi="Times New Roman" w:cs="Times New Roman" w:hint="eastAsia"/>
          <w:sz w:val="18"/>
          <w:szCs w:val="18"/>
        </w:rPr>
        <w:t>万元，</w:t>
      </w:r>
      <w:r>
        <w:rPr>
          <w:rFonts w:ascii="Times New Roman" w:eastAsiaTheme="minorEastAsia" w:hAnsi="Times New Roman" w:cs="Times New Roman" w:hint="eastAsia"/>
          <w:sz w:val="18"/>
          <w:szCs w:val="18"/>
        </w:rPr>
        <w:t>1</w:t>
      </w:r>
      <w:r>
        <w:rPr>
          <w:rFonts w:ascii="Times New Roman" w:eastAsiaTheme="minorEastAsia" w:hAnsi="Times New Roman" w:cs="Times New Roman" w:hint="eastAsia"/>
          <w:sz w:val="18"/>
          <w:szCs w:val="18"/>
        </w:rPr>
        <w:t>年以内的金融负债期末余额为</w:t>
      </w:r>
      <w:r>
        <w:rPr>
          <w:rFonts w:ascii="Times New Roman" w:eastAsiaTheme="minorEastAsia" w:hAnsi="Times New Roman" w:cs="Times New Roman"/>
          <w:sz w:val="18"/>
          <w:szCs w:val="18"/>
        </w:rPr>
        <w:t>4,319,184.01</w:t>
      </w:r>
      <w:r>
        <w:rPr>
          <w:rFonts w:ascii="Times New Roman" w:eastAsiaTheme="minorEastAsia" w:hAnsi="Times New Roman" w:cs="Times New Roman" w:hint="eastAsia"/>
          <w:sz w:val="18"/>
          <w:szCs w:val="18"/>
        </w:rPr>
        <w:t>万元，</w:t>
      </w:r>
      <w:r>
        <w:rPr>
          <w:rFonts w:ascii="Times New Roman" w:eastAsiaTheme="minorEastAsia" w:hAnsi="Times New Roman" w:cs="Times New Roman" w:hint="eastAsia"/>
          <w:sz w:val="18"/>
          <w:szCs w:val="18"/>
        </w:rPr>
        <w:t>1</w:t>
      </w:r>
      <w:r>
        <w:rPr>
          <w:rFonts w:ascii="Times New Roman" w:eastAsiaTheme="minorEastAsia" w:hAnsi="Times New Roman" w:cs="Times New Roman" w:hint="eastAsia"/>
          <w:sz w:val="18"/>
          <w:szCs w:val="18"/>
        </w:rPr>
        <w:t>年以内的金融资产小于金融负债。</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期末，本公司持有的金融资产、金融负债和表外担保项目按未折现剩余合同现金流量的到期期限分析如下（单位：人民币万元）：</w:t>
      </w:r>
    </w:p>
    <w:tbl>
      <w:tblPr>
        <w:tblpPr w:leftFromText="180" w:rightFromText="180" w:vertAnchor="text" w:horzAnchor="page" w:tblpX="1113" w:tblpY="507"/>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3344"/>
        <w:gridCol w:w="1555"/>
        <w:gridCol w:w="1275"/>
        <w:gridCol w:w="1275"/>
        <w:gridCol w:w="1134"/>
        <w:gridCol w:w="1224"/>
      </w:tblGrid>
      <w:tr w:rsidR="00403CD6">
        <w:trPr>
          <w:cantSplit/>
          <w:trHeight w:val="284"/>
        </w:trPr>
        <w:tc>
          <w:tcPr>
            <w:tcW w:w="1705" w:type="pct"/>
            <w:vMerge w:val="restar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项目</w:t>
            </w:r>
          </w:p>
        </w:tc>
        <w:tc>
          <w:tcPr>
            <w:tcW w:w="3295" w:type="pct"/>
            <w:gridSpan w:val="5"/>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期末余额</w:t>
            </w:r>
          </w:p>
        </w:tc>
      </w:tr>
      <w:tr w:rsidR="00403CD6">
        <w:trPr>
          <w:cantSplit/>
          <w:trHeight w:val="284"/>
        </w:trPr>
        <w:tc>
          <w:tcPr>
            <w:tcW w:w="1705" w:type="pct"/>
            <w:vMerge/>
            <w:shd w:val="clear" w:color="auto" w:fill="D9D9D9" w:themeFill="background1" w:themeFillShade="D9"/>
            <w:vAlign w:val="center"/>
          </w:tcPr>
          <w:p w:rsidR="00403CD6" w:rsidRDefault="00403CD6">
            <w:pPr>
              <w:autoSpaceDE w:val="0"/>
              <w:autoSpaceDN w:val="0"/>
              <w:adjustRightInd w:val="0"/>
              <w:snapToGrid w:val="0"/>
              <w:jc w:val="center"/>
              <w:rPr>
                <w:rFonts w:ascii="宋体" w:eastAsia="宋体" w:hAnsi="宋体"/>
                <w:sz w:val="18"/>
                <w:szCs w:val="18"/>
              </w:rPr>
            </w:pPr>
          </w:p>
        </w:tc>
        <w:tc>
          <w:tcPr>
            <w:tcW w:w="793"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1</w:t>
            </w:r>
            <w:r>
              <w:rPr>
                <w:rFonts w:ascii="宋体" w:eastAsia="宋体" w:hAnsi="宋体" w:hint="eastAsia"/>
                <w:sz w:val="18"/>
                <w:szCs w:val="18"/>
              </w:rPr>
              <w:t>年以内</w:t>
            </w:r>
          </w:p>
        </w:tc>
        <w:tc>
          <w:tcPr>
            <w:tcW w:w="650"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1-2</w:t>
            </w:r>
            <w:r>
              <w:rPr>
                <w:rFonts w:ascii="宋体" w:eastAsia="宋体" w:hAnsi="宋体" w:hint="eastAsia"/>
                <w:sz w:val="18"/>
                <w:szCs w:val="18"/>
              </w:rPr>
              <w:t>年</w:t>
            </w:r>
          </w:p>
        </w:tc>
        <w:tc>
          <w:tcPr>
            <w:tcW w:w="650"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2-5</w:t>
            </w:r>
            <w:r>
              <w:rPr>
                <w:rFonts w:ascii="宋体" w:eastAsia="宋体" w:hAnsi="宋体" w:hint="eastAsia"/>
                <w:sz w:val="18"/>
                <w:szCs w:val="18"/>
              </w:rPr>
              <w:t>年</w:t>
            </w:r>
          </w:p>
        </w:tc>
        <w:tc>
          <w:tcPr>
            <w:tcW w:w="578"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5</w:t>
            </w:r>
            <w:r>
              <w:rPr>
                <w:rFonts w:ascii="宋体" w:eastAsia="宋体" w:hAnsi="宋体" w:hint="eastAsia"/>
                <w:sz w:val="18"/>
                <w:szCs w:val="18"/>
              </w:rPr>
              <w:t>年以上</w:t>
            </w:r>
          </w:p>
        </w:tc>
        <w:tc>
          <w:tcPr>
            <w:tcW w:w="624"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hint="eastAsia"/>
                <w:sz w:val="18"/>
                <w:szCs w:val="18"/>
              </w:rPr>
              <w:t>合计</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金融资产：</w:t>
            </w:r>
          </w:p>
        </w:tc>
        <w:tc>
          <w:tcPr>
            <w:tcW w:w="793" w:type="pct"/>
            <w:shd w:val="clear" w:color="auto" w:fill="auto"/>
            <w:vAlign w:val="center"/>
          </w:tcPr>
          <w:p w:rsidR="00403CD6" w:rsidRDefault="00403CD6">
            <w:pPr>
              <w:jc w:val="right"/>
              <w:rPr>
                <w:rFonts w:asciiTheme="minorEastAsia" w:hAnsiTheme="minorEastAsia" w:cstheme="minorEastAsia"/>
                <w:sz w:val="18"/>
                <w:szCs w:val="18"/>
              </w:rPr>
            </w:pPr>
          </w:p>
        </w:tc>
        <w:tc>
          <w:tcPr>
            <w:tcW w:w="650" w:type="pct"/>
            <w:shd w:val="clear" w:color="auto" w:fill="auto"/>
            <w:vAlign w:val="center"/>
          </w:tcPr>
          <w:p w:rsidR="00403CD6" w:rsidRDefault="00403CD6">
            <w:pPr>
              <w:jc w:val="right"/>
              <w:rPr>
                <w:rFonts w:asciiTheme="minorEastAsia" w:hAnsiTheme="minorEastAsia" w:cstheme="minorEastAsia"/>
                <w:sz w:val="18"/>
                <w:szCs w:val="18"/>
              </w:rPr>
            </w:pPr>
          </w:p>
        </w:tc>
        <w:tc>
          <w:tcPr>
            <w:tcW w:w="650" w:type="pct"/>
            <w:shd w:val="clear" w:color="auto" w:fill="auto"/>
            <w:vAlign w:val="center"/>
          </w:tcPr>
          <w:p w:rsidR="00403CD6" w:rsidRDefault="00403CD6">
            <w:pPr>
              <w:jc w:val="right"/>
              <w:rPr>
                <w:rFonts w:asciiTheme="minorEastAsia" w:hAnsiTheme="minorEastAsia" w:cstheme="minorEastAsia"/>
                <w:sz w:val="18"/>
                <w:szCs w:val="18"/>
              </w:rPr>
            </w:pPr>
          </w:p>
        </w:tc>
        <w:tc>
          <w:tcPr>
            <w:tcW w:w="578" w:type="pct"/>
            <w:shd w:val="clear" w:color="auto" w:fill="auto"/>
            <w:vAlign w:val="center"/>
          </w:tcPr>
          <w:p w:rsidR="00403CD6" w:rsidRDefault="00403CD6">
            <w:pPr>
              <w:jc w:val="right"/>
              <w:rPr>
                <w:rFonts w:asciiTheme="minorEastAsia" w:hAnsiTheme="minorEastAsia" w:cstheme="minorEastAsia"/>
                <w:sz w:val="18"/>
                <w:szCs w:val="18"/>
              </w:rPr>
            </w:pPr>
          </w:p>
        </w:tc>
        <w:tc>
          <w:tcPr>
            <w:tcW w:w="624" w:type="pct"/>
            <w:shd w:val="clear" w:color="auto" w:fill="auto"/>
            <w:vAlign w:val="center"/>
          </w:tcPr>
          <w:p w:rsidR="00403CD6" w:rsidRDefault="00403CD6">
            <w:pPr>
              <w:jc w:val="right"/>
              <w:rPr>
                <w:rFonts w:asciiTheme="minorEastAsia" w:hAnsiTheme="minorEastAsia" w:cstheme="minorEastAsia"/>
                <w:sz w:val="18"/>
                <w:szCs w:val="18"/>
              </w:rPr>
            </w:pP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货币资金</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588,069.11</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588,069.11</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交易性金融资产</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3,725.93</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3,725.93</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应收票据</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50,660.57</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50,660.57</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应收账款</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266,836.20</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266,836.20</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应收款项融资</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10,073.08</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10,073.08</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其他应收款</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256,175.64</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256,175.64</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长期应收款</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11,281.94</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22,341.95</w:t>
            </w:r>
          </w:p>
        </w:tc>
        <w:tc>
          <w:tcPr>
            <w:tcW w:w="578"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 xml:space="preserve">1,432.04 </w:t>
            </w:r>
          </w:p>
        </w:tc>
        <w:tc>
          <w:tcPr>
            <w:tcW w:w="624"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35,055.93</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其他非流动金融资产</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E91A59">
            <w:pPr>
              <w:jc w:val="right"/>
              <w:rPr>
                <w:rFonts w:ascii="Times New Roman" w:hAnsi="Times New Roman" w:cs="Times New Roman"/>
                <w:sz w:val="18"/>
                <w:szCs w:val="18"/>
                <w:highlight w:val="yellow"/>
              </w:rPr>
            </w:pPr>
            <w:r>
              <w:rPr>
                <w:rFonts w:ascii="Times New Roman" w:hAnsi="Times New Roman" w:cs="Times New Roman"/>
                <w:color w:val="000000"/>
                <w:sz w:val="18"/>
                <w:szCs w:val="18"/>
              </w:rPr>
              <w:t>75,103.05</w:t>
            </w: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hint="eastAsia"/>
                <w:color w:val="000000"/>
                <w:sz w:val="18"/>
                <w:szCs w:val="18"/>
              </w:rPr>
              <w:t>75,103.05</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其他流动资产</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88,236.02</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88,236.02</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一年内到期的非流动资产</w:t>
            </w:r>
          </w:p>
        </w:tc>
        <w:tc>
          <w:tcPr>
            <w:tcW w:w="793"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491,100.90</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491,100.90</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金融资产合计</w:t>
            </w:r>
          </w:p>
        </w:tc>
        <w:tc>
          <w:tcPr>
            <w:tcW w:w="793"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1,754,877.45</w:t>
            </w:r>
          </w:p>
        </w:tc>
        <w:tc>
          <w:tcPr>
            <w:tcW w:w="650" w:type="pct"/>
            <w:shd w:val="clear" w:color="auto" w:fill="auto"/>
            <w:vAlign w:val="bottom"/>
          </w:tcPr>
          <w:p w:rsidR="00403CD6" w:rsidRDefault="00E91A59">
            <w:pPr>
              <w:widowControl/>
              <w:jc w:val="right"/>
              <w:rPr>
                <w:rFonts w:ascii="Times New Roman" w:hAnsi="Times New Roman" w:cs="Times New Roman"/>
                <w:sz w:val="18"/>
                <w:szCs w:val="18"/>
              </w:rPr>
            </w:pPr>
            <w:r>
              <w:rPr>
                <w:rFonts w:ascii="Times New Roman" w:eastAsia="等线" w:hAnsi="Times New Roman" w:cs="Times New Roman"/>
                <w:color w:val="000000"/>
                <w:sz w:val="18"/>
                <w:szCs w:val="18"/>
              </w:rPr>
              <w:t>11,281.94</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22,341.95</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76,535.09</w:t>
            </w: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1,865,036.43</w:t>
            </w:r>
          </w:p>
        </w:tc>
      </w:tr>
      <w:tr w:rsidR="00403CD6">
        <w:trPr>
          <w:cantSplit/>
          <w:trHeight w:val="284"/>
        </w:trPr>
        <w:tc>
          <w:tcPr>
            <w:tcW w:w="1705"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金融负债：</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短期借款</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2,675,234.73</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2,675,234.73</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应付票据</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142,391.81</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142,391.81</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应付账款</w:t>
            </w:r>
          </w:p>
        </w:tc>
        <w:tc>
          <w:tcPr>
            <w:tcW w:w="793" w:type="pct"/>
            <w:shd w:val="clear" w:color="auto" w:fill="auto"/>
            <w:vAlign w:val="center"/>
          </w:tcPr>
          <w:p w:rsidR="00403CD6" w:rsidRDefault="00E91A59">
            <w:pPr>
              <w:widowControl/>
              <w:spacing w:before="100" w:beforeAutospacing="1" w:after="100" w:afterAutospacing="1"/>
              <w:jc w:val="right"/>
              <w:rPr>
                <w:rFonts w:ascii="Times New Roman" w:hAnsi="Times New Roman" w:cs="Times New Roman"/>
                <w:color w:val="000000"/>
                <w:sz w:val="18"/>
                <w:szCs w:val="18"/>
              </w:rPr>
            </w:pPr>
            <w:r>
              <w:rPr>
                <w:rFonts w:ascii="Times New Roman" w:hAnsi="Times New Roman" w:cs="Times New Roman"/>
                <w:color w:val="000000"/>
                <w:sz w:val="18"/>
                <w:szCs w:val="18"/>
              </w:rPr>
              <w:t>770,896.74</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770,896.74</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pacing w:val="-6"/>
                <w:sz w:val="18"/>
                <w:szCs w:val="18"/>
              </w:rPr>
            </w:pPr>
            <w:r>
              <w:rPr>
                <w:rFonts w:asciiTheme="minorEastAsia" w:hAnsiTheme="minorEastAsia" w:cstheme="minorEastAsia" w:hint="eastAsia"/>
                <w:sz w:val="18"/>
                <w:szCs w:val="18"/>
              </w:rPr>
              <w:t>其他应付款</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283,336.77</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283,336.77</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一年内到期的非流动负债</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160,954.54</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160,954.54</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其他流动负债</w:t>
            </w:r>
          </w:p>
        </w:tc>
        <w:tc>
          <w:tcPr>
            <w:tcW w:w="79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286,369.42</w:t>
            </w: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403CD6">
            <w:pPr>
              <w:jc w:val="right"/>
              <w:rPr>
                <w:rFonts w:ascii="Times New Roman" w:hAnsi="Times New Roman" w:cs="Times New Roman"/>
                <w:sz w:val="18"/>
                <w:szCs w:val="18"/>
              </w:rPr>
            </w:pP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286,369.42</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长期借款</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165,672.85</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109,483.19</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201,032.48</w:t>
            </w: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476,188.52</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租赁负债</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286.71</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1,011.20</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3,615.65</w:t>
            </w:r>
          </w:p>
        </w:tc>
        <w:tc>
          <w:tcPr>
            <w:tcW w:w="62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4,913.56</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长期应付款</w:t>
            </w:r>
          </w:p>
        </w:tc>
        <w:tc>
          <w:tcPr>
            <w:tcW w:w="793" w:type="pct"/>
            <w:shd w:val="clear" w:color="auto" w:fill="auto"/>
            <w:vAlign w:val="center"/>
          </w:tcPr>
          <w:p w:rsidR="00403CD6" w:rsidRDefault="00403CD6">
            <w:pPr>
              <w:jc w:val="right"/>
              <w:rPr>
                <w:rFonts w:ascii="Times New Roman" w:hAnsi="Times New Roman" w:cs="Times New Roman"/>
                <w:sz w:val="18"/>
                <w:szCs w:val="18"/>
              </w:rPr>
            </w:pP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46,996.82</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34,565.33</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624"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81,562.15</w:t>
            </w:r>
          </w:p>
        </w:tc>
      </w:tr>
      <w:tr w:rsidR="00403CD6">
        <w:trPr>
          <w:cantSplit/>
          <w:trHeight w:val="284"/>
        </w:trPr>
        <w:tc>
          <w:tcPr>
            <w:tcW w:w="1705"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金融负债和</w:t>
            </w:r>
            <w:proofErr w:type="gramStart"/>
            <w:r>
              <w:rPr>
                <w:rFonts w:asciiTheme="minorEastAsia" w:hAnsiTheme="minorEastAsia" w:cstheme="minorEastAsia" w:hint="eastAsia"/>
                <w:sz w:val="18"/>
                <w:szCs w:val="18"/>
              </w:rPr>
              <w:t>或</w:t>
            </w:r>
            <w:proofErr w:type="gramEnd"/>
            <w:r>
              <w:rPr>
                <w:rFonts w:asciiTheme="minorEastAsia" w:hAnsiTheme="minorEastAsia" w:cstheme="minorEastAsia" w:hint="eastAsia"/>
                <w:sz w:val="18"/>
                <w:szCs w:val="18"/>
              </w:rPr>
              <w:t>有负债合计</w:t>
            </w:r>
          </w:p>
        </w:tc>
        <w:tc>
          <w:tcPr>
            <w:tcW w:w="793"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4,319,184.01</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212,956.38</w:t>
            </w:r>
          </w:p>
        </w:tc>
        <w:tc>
          <w:tcPr>
            <w:tcW w:w="65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145,059.72</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等线" w:hAnsi="Times New Roman" w:cs="Times New Roman"/>
                <w:color w:val="000000"/>
                <w:sz w:val="18"/>
                <w:szCs w:val="18"/>
              </w:rPr>
              <w:t>204,648.13</w:t>
            </w:r>
          </w:p>
        </w:tc>
        <w:tc>
          <w:tcPr>
            <w:tcW w:w="624" w:type="pct"/>
            <w:shd w:val="clear" w:color="auto" w:fill="auto"/>
            <w:vAlign w:val="center"/>
          </w:tcPr>
          <w:p w:rsidR="00403CD6" w:rsidRDefault="00E91A59">
            <w:pPr>
              <w:widowControl/>
              <w:jc w:val="right"/>
              <w:rPr>
                <w:rFonts w:ascii="Times New Roman" w:eastAsia="等线" w:hAnsi="Times New Roman" w:cs="Times New Roman"/>
                <w:color w:val="000000"/>
                <w:kern w:val="0"/>
                <w:sz w:val="18"/>
                <w:szCs w:val="18"/>
              </w:rPr>
            </w:pPr>
            <w:r>
              <w:rPr>
                <w:rFonts w:ascii="Times New Roman" w:eastAsia="等线" w:hAnsi="Times New Roman" w:cs="Times New Roman"/>
                <w:color w:val="000000"/>
                <w:sz w:val="18"/>
                <w:szCs w:val="18"/>
              </w:rPr>
              <w:t>4,881,848.24</w:t>
            </w:r>
          </w:p>
        </w:tc>
      </w:tr>
    </w:tbl>
    <w:p w:rsidR="00403CD6" w:rsidRDefault="00E91A59">
      <w:pPr>
        <w:keepNext/>
        <w:widowControl/>
        <w:snapToGrid w:val="0"/>
        <w:spacing w:beforeLines="50" w:before="156" w:afterLines="90" w:after="280"/>
        <w:ind w:firstLineChars="200" w:firstLine="360"/>
        <w:rPr>
          <w:rFonts w:asciiTheme="minorEastAsia" w:hAnsiTheme="minorEastAsia" w:cstheme="minorEastAsia"/>
          <w:sz w:val="18"/>
          <w:szCs w:val="18"/>
        </w:rPr>
      </w:pPr>
      <w:r>
        <w:rPr>
          <w:rFonts w:asciiTheme="minorEastAsia" w:hAnsiTheme="minorEastAsia" w:cstheme="minorEastAsia" w:hint="eastAsia"/>
          <w:sz w:val="18"/>
          <w:szCs w:val="18"/>
        </w:rPr>
        <w:t>上年年末，本公司持有的金融资产、金融负债和表外担保项目按未折现剩余合同现金流量的到期期限分析如下（单</w:t>
      </w:r>
    </w:p>
    <w:p w:rsidR="00403CD6" w:rsidRDefault="00E91A59">
      <w:pPr>
        <w:keepNext/>
        <w:widowControl/>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t>位：人民币万元）：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2211"/>
        <w:gridCol w:w="1135"/>
        <w:gridCol w:w="1030"/>
        <w:gridCol w:w="1724"/>
        <w:gridCol w:w="1724"/>
        <w:gridCol w:w="1983"/>
      </w:tblGrid>
      <w:tr w:rsidR="00403CD6">
        <w:trPr>
          <w:cantSplit/>
          <w:trHeight w:val="284"/>
          <w:jc w:val="center"/>
        </w:trPr>
        <w:tc>
          <w:tcPr>
            <w:tcW w:w="1127" w:type="pct"/>
            <w:vMerge w:val="restar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3872" w:type="pct"/>
            <w:gridSpan w:val="5"/>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上年年末余额</w:t>
            </w:r>
          </w:p>
        </w:tc>
      </w:tr>
      <w:tr w:rsidR="00403CD6">
        <w:trPr>
          <w:cantSplit/>
          <w:trHeight w:val="284"/>
          <w:jc w:val="center"/>
        </w:trPr>
        <w:tc>
          <w:tcPr>
            <w:tcW w:w="1127" w:type="pct"/>
            <w:vMerge/>
            <w:shd w:val="clear" w:color="auto" w:fill="D9D9D9" w:themeFill="background1" w:themeFillShade="D9"/>
            <w:vAlign w:val="center"/>
          </w:tcPr>
          <w:p w:rsidR="00403CD6" w:rsidRDefault="00403CD6">
            <w:pPr>
              <w:autoSpaceDE w:val="0"/>
              <w:autoSpaceDN w:val="0"/>
              <w:adjustRightInd w:val="0"/>
              <w:snapToGrid w:val="0"/>
              <w:jc w:val="center"/>
              <w:rPr>
                <w:rFonts w:ascii="Times New Roman" w:eastAsia="宋体" w:hAnsi="Times New Roman" w:cs="Times New Roman"/>
                <w:sz w:val="18"/>
                <w:szCs w:val="18"/>
              </w:rPr>
            </w:pPr>
          </w:p>
        </w:tc>
        <w:tc>
          <w:tcPr>
            <w:tcW w:w="578" w:type="pc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1</w:t>
            </w:r>
            <w:r>
              <w:rPr>
                <w:rFonts w:ascii="Times New Roman" w:eastAsia="宋体" w:hAnsi="Times New Roman" w:cs="Times New Roman"/>
                <w:sz w:val="18"/>
                <w:szCs w:val="18"/>
              </w:rPr>
              <w:t>年以内</w:t>
            </w:r>
          </w:p>
        </w:tc>
        <w:tc>
          <w:tcPr>
            <w:tcW w:w="525" w:type="pc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1-2</w:t>
            </w:r>
            <w:r>
              <w:rPr>
                <w:rFonts w:ascii="Times New Roman" w:eastAsia="宋体" w:hAnsi="Times New Roman" w:cs="Times New Roman"/>
                <w:sz w:val="18"/>
                <w:szCs w:val="18"/>
              </w:rPr>
              <w:t>年</w:t>
            </w:r>
          </w:p>
        </w:tc>
        <w:tc>
          <w:tcPr>
            <w:tcW w:w="879" w:type="pc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2-5</w:t>
            </w:r>
            <w:r>
              <w:rPr>
                <w:rFonts w:ascii="Times New Roman" w:eastAsia="宋体" w:hAnsi="Times New Roman" w:cs="Times New Roman"/>
                <w:sz w:val="18"/>
                <w:szCs w:val="18"/>
              </w:rPr>
              <w:t>年</w:t>
            </w:r>
          </w:p>
        </w:tc>
        <w:tc>
          <w:tcPr>
            <w:tcW w:w="879" w:type="pc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5</w:t>
            </w:r>
            <w:r>
              <w:rPr>
                <w:rFonts w:ascii="Times New Roman" w:eastAsia="宋体" w:hAnsi="Times New Roman" w:cs="Times New Roman"/>
                <w:sz w:val="18"/>
                <w:szCs w:val="18"/>
              </w:rPr>
              <w:t>年以上</w:t>
            </w:r>
          </w:p>
        </w:tc>
        <w:tc>
          <w:tcPr>
            <w:tcW w:w="1008" w:type="pct"/>
            <w:shd w:val="clear" w:color="auto" w:fill="D9D9D9" w:themeFill="background1" w:themeFillShade="D9"/>
            <w:vAlign w:val="center"/>
          </w:tcPr>
          <w:p w:rsidR="00403CD6" w:rsidRDefault="00E91A59">
            <w:pPr>
              <w:autoSpaceDE w:val="0"/>
              <w:autoSpaceDN w:val="0"/>
              <w:adjustRightInd w:val="0"/>
              <w:snapToGrid w:val="0"/>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金融资产：</w:t>
            </w:r>
          </w:p>
        </w:tc>
        <w:tc>
          <w:tcPr>
            <w:tcW w:w="578" w:type="pct"/>
            <w:shd w:val="clear" w:color="auto" w:fill="auto"/>
            <w:vAlign w:val="center"/>
          </w:tcPr>
          <w:p w:rsidR="00403CD6" w:rsidRDefault="00403CD6">
            <w:pPr>
              <w:jc w:val="right"/>
              <w:rPr>
                <w:rFonts w:asciiTheme="minorEastAsia" w:hAnsiTheme="minorEastAsia" w:cstheme="minorEastAsia"/>
                <w:sz w:val="18"/>
                <w:szCs w:val="18"/>
              </w:rPr>
            </w:pPr>
          </w:p>
        </w:tc>
        <w:tc>
          <w:tcPr>
            <w:tcW w:w="525" w:type="pct"/>
            <w:shd w:val="clear" w:color="auto" w:fill="auto"/>
            <w:vAlign w:val="center"/>
          </w:tcPr>
          <w:p w:rsidR="00403CD6" w:rsidRDefault="00403CD6">
            <w:pPr>
              <w:jc w:val="right"/>
              <w:rPr>
                <w:rFonts w:asciiTheme="minorEastAsia" w:hAnsiTheme="minorEastAsia" w:cstheme="minorEastAsia"/>
                <w:sz w:val="18"/>
                <w:szCs w:val="18"/>
              </w:rPr>
            </w:pPr>
          </w:p>
        </w:tc>
        <w:tc>
          <w:tcPr>
            <w:tcW w:w="879" w:type="pct"/>
            <w:shd w:val="clear" w:color="auto" w:fill="auto"/>
            <w:vAlign w:val="center"/>
          </w:tcPr>
          <w:p w:rsidR="00403CD6" w:rsidRDefault="00403CD6">
            <w:pPr>
              <w:jc w:val="right"/>
              <w:rPr>
                <w:rFonts w:asciiTheme="minorEastAsia" w:hAnsiTheme="minorEastAsia" w:cstheme="minorEastAsia"/>
                <w:sz w:val="18"/>
                <w:szCs w:val="18"/>
              </w:rPr>
            </w:pPr>
          </w:p>
        </w:tc>
        <w:tc>
          <w:tcPr>
            <w:tcW w:w="879" w:type="pct"/>
            <w:shd w:val="clear" w:color="auto" w:fill="auto"/>
            <w:vAlign w:val="center"/>
          </w:tcPr>
          <w:p w:rsidR="00403CD6" w:rsidRDefault="00403CD6">
            <w:pPr>
              <w:jc w:val="right"/>
              <w:rPr>
                <w:rFonts w:asciiTheme="minorEastAsia" w:hAnsiTheme="minorEastAsia" w:cstheme="minorEastAsia"/>
                <w:sz w:val="18"/>
                <w:szCs w:val="18"/>
              </w:rPr>
            </w:pPr>
          </w:p>
        </w:tc>
        <w:tc>
          <w:tcPr>
            <w:tcW w:w="1008" w:type="pct"/>
            <w:shd w:val="clear" w:color="auto" w:fill="auto"/>
            <w:vAlign w:val="center"/>
          </w:tcPr>
          <w:p w:rsidR="00403CD6" w:rsidRDefault="00403CD6">
            <w:pPr>
              <w:jc w:val="right"/>
              <w:rPr>
                <w:rFonts w:asciiTheme="minorEastAsia" w:hAnsiTheme="minorEastAsia" w:cstheme="minorEastAsia"/>
                <w:sz w:val="18"/>
                <w:szCs w:val="18"/>
              </w:rPr>
            </w:pP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货币资金</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1,208,547.49</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1,208,547.49</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交易性金融资产</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4,629.43</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4,629.43</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应收票据</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41,160.00</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41,160.00</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应收账款</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307,757.71</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307,757.71</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应收款项融资</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21,588.42</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21,588.42</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其他应收款</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273,484.02</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273,484.02</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长期应收款</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5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29,478.61</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6,700.00</w:t>
            </w: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36,178.61</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lastRenderedPageBreak/>
              <w:t>其他非流动金融资产</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78,156.10</w:t>
            </w: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78,156.10</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其他流动资产</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69,994.65</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69,994.65</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一年内到期的非流动资产</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529,707.20 </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529,707.20 </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金融资产合计</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2,456,868.92   </w:t>
            </w:r>
          </w:p>
        </w:tc>
        <w:tc>
          <w:tcPr>
            <w:tcW w:w="5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29,478.61</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6,700.00</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78,156.10</w:t>
            </w: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2,571,203.63  </w:t>
            </w:r>
          </w:p>
        </w:tc>
      </w:tr>
      <w:tr w:rsidR="00403CD6">
        <w:trPr>
          <w:cantSplit/>
          <w:trHeight w:val="284"/>
          <w:jc w:val="center"/>
        </w:trPr>
        <w:tc>
          <w:tcPr>
            <w:tcW w:w="1127"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金融负债：</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短期借款</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3,344,774.24</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3,344,774.24</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应付票据</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461,898.65</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461,898.65</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应付账款</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390,262.09</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390,262.09</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pacing w:val="-6"/>
                <w:sz w:val="18"/>
                <w:szCs w:val="18"/>
              </w:rPr>
            </w:pPr>
            <w:r>
              <w:rPr>
                <w:rFonts w:asciiTheme="minorEastAsia" w:hAnsiTheme="minorEastAsia" w:cstheme="minorEastAsia" w:hint="eastAsia"/>
                <w:sz w:val="18"/>
                <w:szCs w:val="18"/>
              </w:rPr>
              <w:t>其他应付款</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241,475.21</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241,475.21</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一年内到期的非流动负债</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374,650.69</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374,650.69</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其他流动负债</w:t>
            </w:r>
          </w:p>
        </w:tc>
        <w:tc>
          <w:tcPr>
            <w:tcW w:w="5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w:t>
            </w:r>
          </w:p>
        </w:tc>
        <w:tc>
          <w:tcPr>
            <w:tcW w:w="525"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879" w:type="pct"/>
            <w:shd w:val="clear" w:color="auto" w:fill="auto"/>
            <w:vAlign w:val="center"/>
          </w:tcPr>
          <w:p w:rsidR="00403CD6" w:rsidRDefault="00403CD6">
            <w:pPr>
              <w:jc w:val="right"/>
              <w:rPr>
                <w:rFonts w:ascii="Times New Roman" w:hAnsi="Times New Roman" w:cs="Times New Roman"/>
                <w:sz w:val="18"/>
                <w:szCs w:val="18"/>
              </w:rPr>
            </w:pP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长期借款</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5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84,962.58</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115,780.76</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267,358.11</w:t>
            </w: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468,101.45</w:t>
            </w:r>
          </w:p>
        </w:tc>
      </w:tr>
      <w:tr w:rsidR="00403CD6">
        <w:trPr>
          <w:cantSplit/>
          <w:trHeight w:val="284"/>
          <w:jc w:val="center"/>
        </w:trPr>
        <w:tc>
          <w:tcPr>
            <w:tcW w:w="1127" w:type="pct"/>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租赁负债</w:t>
            </w:r>
          </w:p>
        </w:tc>
        <w:tc>
          <w:tcPr>
            <w:tcW w:w="578" w:type="pct"/>
            <w:shd w:val="clear" w:color="auto" w:fill="auto"/>
            <w:vAlign w:val="center"/>
          </w:tcPr>
          <w:p w:rsidR="00403CD6" w:rsidRDefault="00403CD6">
            <w:pPr>
              <w:jc w:val="right"/>
              <w:rPr>
                <w:rFonts w:ascii="Times New Roman" w:hAnsi="Times New Roman" w:cs="Times New Roman"/>
                <w:sz w:val="18"/>
                <w:szCs w:val="18"/>
              </w:rPr>
            </w:pPr>
          </w:p>
        </w:tc>
        <w:tc>
          <w:tcPr>
            <w:tcW w:w="52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453.22</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354.01</w:t>
            </w:r>
          </w:p>
        </w:tc>
        <w:tc>
          <w:tcPr>
            <w:tcW w:w="8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5,249.95</w:t>
            </w:r>
          </w:p>
        </w:tc>
        <w:tc>
          <w:tcPr>
            <w:tcW w:w="100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6,057.18</w:t>
            </w:r>
          </w:p>
        </w:tc>
      </w:tr>
      <w:tr w:rsidR="00403CD6">
        <w:trPr>
          <w:cantSplit/>
          <w:trHeight w:val="284"/>
          <w:jc w:val="center"/>
        </w:trPr>
        <w:tc>
          <w:tcPr>
            <w:tcW w:w="2212" w:type="dxa"/>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长期应付款</w:t>
            </w:r>
          </w:p>
        </w:tc>
        <w:tc>
          <w:tcPr>
            <w:tcW w:w="1134" w:type="dxa"/>
            <w:shd w:val="clear" w:color="auto" w:fill="auto"/>
            <w:vAlign w:val="center"/>
          </w:tcPr>
          <w:p w:rsidR="00403CD6" w:rsidRDefault="00403CD6">
            <w:pPr>
              <w:jc w:val="right"/>
              <w:rPr>
                <w:rFonts w:ascii="Times New Roman" w:hAnsi="Times New Roman" w:cs="Times New Roman"/>
                <w:sz w:val="18"/>
                <w:szCs w:val="18"/>
              </w:rPr>
            </w:pPr>
          </w:p>
        </w:tc>
        <w:tc>
          <w:tcPr>
            <w:tcW w:w="1030" w:type="dxa"/>
            <w:shd w:val="clear" w:color="auto" w:fill="auto"/>
            <w:vAlign w:val="bottom"/>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149,201.63</w:t>
            </w:r>
          </w:p>
        </w:tc>
        <w:tc>
          <w:tcPr>
            <w:tcW w:w="1726" w:type="dxa"/>
            <w:shd w:val="clear" w:color="auto" w:fill="auto"/>
            <w:vAlign w:val="bottom"/>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112,355.62</w:t>
            </w:r>
          </w:p>
        </w:tc>
        <w:tc>
          <w:tcPr>
            <w:tcW w:w="1726" w:type="dxa"/>
            <w:shd w:val="clear" w:color="auto" w:fill="auto"/>
            <w:vAlign w:val="bottom"/>
          </w:tcPr>
          <w:p w:rsidR="00403CD6" w:rsidRDefault="00403CD6">
            <w:pPr>
              <w:jc w:val="right"/>
              <w:rPr>
                <w:rFonts w:ascii="Times New Roman" w:hAnsi="Times New Roman" w:cs="Times New Roman"/>
                <w:sz w:val="18"/>
                <w:szCs w:val="18"/>
              </w:rPr>
            </w:pPr>
          </w:p>
        </w:tc>
        <w:tc>
          <w:tcPr>
            <w:tcW w:w="1979" w:type="dxa"/>
            <w:shd w:val="clear" w:color="auto" w:fill="auto"/>
            <w:vAlign w:val="bottom"/>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261,557.25</w:t>
            </w:r>
          </w:p>
        </w:tc>
      </w:tr>
      <w:tr w:rsidR="00403CD6">
        <w:trPr>
          <w:cantSplit/>
          <w:trHeight w:val="284"/>
          <w:jc w:val="center"/>
        </w:trPr>
        <w:tc>
          <w:tcPr>
            <w:tcW w:w="2212" w:type="dxa"/>
            <w:shd w:val="clear" w:color="auto" w:fill="auto"/>
            <w:vAlign w:val="center"/>
          </w:tcPr>
          <w:p w:rsidR="00403CD6" w:rsidRDefault="00E91A59">
            <w:pPr>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金融负债和</w:t>
            </w:r>
            <w:proofErr w:type="gramStart"/>
            <w:r>
              <w:rPr>
                <w:rFonts w:asciiTheme="minorEastAsia" w:hAnsiTheme="minorEastAsia" w:cstheme="minorEastAsia" w:hint="eastAsia"/>
                <w:sz w:val="18"/>
                <w:szCs w:val="18"/>
              </w:rPr>
              <w:t>或</w:t>
            </w:r>
            <w:proofErr w:type="gramEnd"/>
            <w:r>
              <w:rPr>
                <w:rFonts w:asciiTheme="minorEastAsia" w:hAnsiTheme="minorEastAsia" w:cstheme="minorEastAsia" w:hint="eastAsia"/>
                <w:sz w:val="18"/>
                <w:szCs w:val="18"/>
              </w:rPr>
              <w:t>有负债合计</w:t>
            </w:r>
          </w:p>
        </w:tc>
        <w:tc>
          <w:tcPr>
            <w:tcW w:w="1134"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4,823,060.88   </w:t>
            </w:r>
          </w:p>
        </w:tc>
        <w:tc>
          <w:tcPr>
            <w:tcW w:w="1030"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234,617.43</w:t>
            </w:r>
          </w:p>
        </w:tc>
        <w:tc>
          <w:tcPr>
            <w:tcW w:w="1726"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228,490.39</w:t>
            </w:r>
          </w:p>
        </w:tc>
        <w:tc>
          <w:tcPr>
            <w:tcW w:w="1726"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272,608.06</w:t>
            </w:r>
          </w:p>
        </w:tc>
        <w:tc>
          <w:tcPr>
            <w:tcW w:w="1979" w:type="dxa"/>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5,558,776.76</w:t>
            </w:r>
          </w:p>
        </w:tc>
      </w:tr>
    </w:tbl>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上表中披露的金融负债金额为未经折现的合同现金流量，因而可能与资产负债表中的账面金额有所不同。</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已签订的担保合同最大担保金额并不代表即将支付的金额。</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3</w:t>
      </w:r>
      <w:r>
        <w:rPr>
          <w:rFonts w:ascii="Times New Roman" w:eastAsiaTheme="minorEastAsia" w:hAnsi="Times New Roman" w:cs="Times New Roman" w:hint="eastAsia"/>
          <w:sz w:val="18"/>
          <w:szCs w:val="18"/>
        </w:rPr>
        <w:t>）</w:t>
      </w:r>
      <w:r>
        <w:rPr>
          <w:rFonts w:ascii="Times New Roman" w:eastAsiaTheme="minorEastAsia" w:hAnsi="Times New Roman" w:cs="Times New Roman"/>
          <w:sz w:val="18"/>
          <w:szCs w:val="18"/>
        </w:rPr>
        <w:t>市场风险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金融工具的市场风险，是指金融工具的公允价值或未来现金流量因市场价格变动而发生波动的风险，包括利率风险、汇率风险和其他价格风险。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利率风险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利率风险，是指金融工具的公允价值或未来现金流量因市场利率变动而发生波动的风险。利率风险可源于已确认的计息金融工具和未确认的金融工具（如某些贷款承诺）。</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的利率风险主要产生于长期银行借款及应付债券等长期带息债务。浮动利率的金融负债使本公司面临现金流量利率风险，固定利率的金融负债使本公司面临公允价值利率风险。本公司根据当时的市场环境来决定固定利率及浮动利率合同的相对比例，并通过定期审阅与监察维持适当的固定和浮动利率工具组合。</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本公司密切关注利率变动对本公司利率风险的影响。本公司目前并未采取利率对冲政策。但管理</w:t>
      </w:r>
      <w:proofErr w:type="gramStart"/>
      <w:r>
        <w:rPr>
          <w:rFonts w:ascii="Times New Roman" w:eastAsiaTheme="minorEastAsia" w:hAnsi="Times New Roman" w:cs="Times New Roman" w:hint="eastAsia"/>
          <w:sz w:val="18"/>
          <w:szCs w:val="18"/>
        </w:rPr>
        <w:t>层负责</w:t>
      </w:r>
      <w:proofErr w:type="gramEnd"/>
      <w:r>
        <w:rPr>
          <w:rFonts w:ascii="Times New Roman" w:eastAsiaTheme="minorEastAsia" w:hAnsi="Times New Roman" w:cs="Times New Roman" w:hint="eastAsia"/>
          <w:sz w:val="18"/>
          <w:szCs w:val="18"/>
        </w:rPr>
        <w:t>监控利率风险，并将于需要时考虑对</w:t>
      </w:r>
      <w:proofErr w:type="gramStart"/>
      <w:r>
        <w:rPr>
          <w:rFonts w:ascii="Times New Roman" w:eastAsiaTheme="minorEastAsia" w:hAnsi="Times New Roman" w:cs="Times New Roman" w:hint="eastAsia"/>
          <w:sz w:val="18"/>
          <w:szCs w:val="18"/>
        </w:rPr>
        <w:t>冲重大</w:t>
      </w:r>
      <w:proofErr w:type="gramEnd"/>
      <w:r>
        <w:rPr>
          <w:rFonts w:ascii="Times New Roman" w:eastAsiaTheme="minorEastAsia" w:hAnsi="Times New Roman" w:cs="Times New Roman" w:hint="eastAsia"/>
          <w:sz w:val="18"/>
          <w:szCs w:val="18"/>
        </w:rPr>
        <w:t>利率风险。利率上升会增加新增带息债务的成本以及本公司尚未付清的以浮动利率计息的带息债务的利息费用，并对本公司的财务业绩产生重大的不利影响，管理层会依据最新的市场状况及时做出调整，这些调整可能是进行利率互换的安排来降低利率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本公司持有的计息金融工具如下（单位：人民币万元）：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3269"/>
        <w:gridCol w:w="3270"/>
        <w:gridCol w:w="3268"/>
      </w:tblGrid>
      <w:tr w:rsidR="00403CD6">
        <w:trPr>
          <w:cantSplit/>
          <w:trHeight w:val="284"/>
          <w:tblHeader/>
          <w:jc w:val="center"/>
        </w:trPr>
        <w:tc>
          <w:tcPr>
            <w:tcW w:w="1666"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sz w:val="18"/>
                <w:szCs w:val="18"/>
              </w:rPr>
              <w:t>项目</w:t>
            </w:r>
          </w:p>
        </w:tc>
        <w:tc>
          <w:tcPr>
            <w:tcW w:w="1667"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cs="Arial"/>
                <w:sz w:val="18"/>
                <w:szCs w:val="18"/>
              </w:rPr>
              <w:t>本</w:t>
            </w:r>
            <w:r>
              <w:rPr>
                <w:rFonts w:ascii="宋体" w:eastAsia="宋体" w:hAnsi="宋体" w:cs="Arial" w:hint="eastAsia"/>
                <w:sz w:val="18"/>
                <w:szCs w:val="18"/>
              </w:rPr>
              <w:t>期</w:t>
            </w:r>
            <w:r>
              <w:rPr>
                <w:rFonts w:ascii="宋体" w:eastAsia="宋体" w:hAnsi="宋体" w:cs="Arial"/>
                <w:sz w:val="18"/>
                <w:szCs w:val="18"/>
              </w:rPr>
              <w:t>数</w:t>
            </w:r>
          </w:p>
        </w:tc>
        <w:tc>
          <w:tcPr>
            <w:tcW w:w="1666" w:type="pct"/>
            <w:shd w:val="clear" w:color="auto" w:fill="D9D9D9" w:themeFill="background1" w:themeFillShade="D9"/>
            <w:vAlign w:val="center"/>
          </w:tcPr>
          <w:p w:rsidR="00403CD6" w:rsidRDefault="00E91A59">
            <w:pPr>
              <w:autoSpaceDE w:val="0"/>
              <w:autoSpaceDN w:val="0"/>
              <w:adjustRightInd w:val="0"/>
              <w:snapToGrid w:val="0"/>
              <w:jc w:val="center"/>
              <w:rPr>
                <w:rFonts w:ascii="宋体" w:eastAsia="宋体" w:hAnsi="宋体"/>
                <w:sz w:val="18"/>
                <w:szCs w:val="18"/>
              </w:rPr>
            </w:pPr>
            <w:r>
              <w:rPr>
                <w:rFonts w:ascii="宋体" w:eastAsia="宋体" w:hAnsi="宋体" w:cs="Arial"/>
                <w:sz w:val="18"/>
                <w:szCs w:val="18"/>
              </w:rPr>
              <w:t>上</w:t>
            </w:r>
            <w:r>
              <w:rPr>
                <w:rFonts w:ascii="宋体" w:eastAsia="宋体" w:hAnsi="宋体" w:cs="Arial" w:hint="eastAsia"/>
                <w:sz w:val="18"/>
                <w:szCs w:val="18"/>
              </w:rPr>
              <w:t>期</w:t>
            </w:r>
            <w:r>
              <w:rPr>
                <w:rFonts w:ascii="宋体" w:eastAsia="宋体" w:hAnsi="宋体" w:cs="Arial"/>
                <w:sz w:val="18"/>
                <w:szCs w:val="18"/>
              </w:rPr>
              <w:t>数</w:t>
            </w: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固定利率金融工具</w:t>
            </w:r>
          </w:p>
        </w:tc>
        <w:tc>
          <w:tcPr>
            <w:tcW w:w="1667" w:type="pct"/>
            <w:shd w:val="clear" w:color="auto" w:fill="auto"/>
            <w:vAlign w:val="center"/>
          </w:tcPr>
          <w:p w:rsidR="00403CD6" w:rsidRDefault="00403CD6">
            <w:pPr>
              <w:jc w:val="right"/>
              <w:rPr>
                <w:rFonts w:asciiTheme="minorEastAsia" w:hAnsiTheme="minorEastAsia" w:cstheme="minorEastAsia"/>
                <w:sz w:val="18"/>
                <w:szCs w:val="18"/>
              </w:rPr>
            </w:pPr>
          </w:p>
        </w:tc>
        <w:tc>
          <w:tcPr>
            <w:tcW w:w="1666" w:type="pct"/>
            <w:shd w:val="clear" w:color="auto" w:fill="auto"/>
            <w:vAlign w:val="center"/>
          </w:tcPr>
          <w:p w:rsidR="00403CD6" w:rsidRDefault="00403CD6">
            <w:pPr>
              <w:jc w:val="right"/>
              <w:rPr>
                <w:rFonts w:asciiTheme="minorEastAsia" w:hAnsiTheme="minorEastAsia" w:cstheme="minorEastAsia"/>
                <w:sz w:val="18"/>
                <w:szCs w:val="18"/>
              </w:rPr>
            </w:pP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金融负债</w:t>
            </w:r>
          </w:p>
        </w:tc>
        <w:tc>
          <w:tcPr>
            <w:tcW w:w="1667" w:type="pct"/>
            <w:shd w:val="clear" w:color="auto" w:fill="auto"/>
            <w:vAlign w:val="center"/>
          </w:tcPr>
          <w:p w:rsidR="00403CD6" w:rsidRDefault="00403CD6">
            <w:pPr>
              <w:jc w:val="right"/>
              <w:rPr>
                <w:rFonts w:asciiTheme="minorEastAsia" w:hAnsiTheme="minorEastAsia" w:cstheme="minorEastAsia"/>
                <w:sz w:val="18"/>
                <w:szCs w:val="18"/>
              </w:rPr>
            </w:pPr>
          </w:p>
        </w:tc>
        <w:tc>
          <w:tcPr>
            <w:tcW w:w="1666" w:type="pct"/>
            <w:shd w:val="clear" w:color="auto" w:fill="auto"/>
            <w:vAlign w:val="center"/>
          </w:tcPr>
          <w:p w:rsidR="00403CD6" w:rsidRDefault="00403CD6">
            <w:pPr>
              <w:jc w:val="right"/>
              <w:rPr>
                <w:rFonts w:asciiTheme="minorEastAsia" w:hAnsiTheme="minorEastAsia" w:cstheme="minorEastAsia"/>
                <w:sz w:val="18"/>
                <w:szCs w:val="18"/>
              </w:rPr>
            </w:pP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其中：短期借款</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2,675,234.73</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3,344,774.24</w:t>
            </w: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ind w:firstLineChars="200" w:firstLine="360"/>
              <w:rPr>
                <w:rFonts w:asciiTheme="minorEastAsia" w:hAnsiTheme="minorEastAsia" w:cstheme="minorEastAsia"/>
                <w:sz w:val="18"/>
                <w:szCs w:val="18"/>
              </w:rPr>
            </w:pPr>
            <w:r>
              <w:rPr>
                <w:rFonts w:asciiTheme="minorEastAsia" w:hAnsiTheme="minorEastAsia" w:cstheme="minorEastAsia" w:hint="eastAsia"/>
                <w:sz w:val="18"/>
                <w:szCs w:val="18"/>
              </w:rPr>
              <w:t>长期借款</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hint="eastAsia"/>
                <w:color w:val="000000"/>
                <w:sz w:val="18"/>
                <w:szCs w:val="18"/>
              </w:rPr>
              <w:t>476,188.52</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468,101.45</w:t>
            </w: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ind w:firstLineChars="100" w:firstLine="180"/>
              <w:rPr>
                <w:rFonts w:asciiTheme="minorEastAsia" w:hAnsiTheme="minorEastAsia" w:cstheme="minorEastAsia"/>
                <w:sz w:val="18"/>
                <w:szCs w:val="18"/>
              </w:rPr>
            </w:pPr>
            <w:r>
              <w:rPr>
                <w:rFonts w:asciiTheme="minorEastAsia" w:hAnsiTheme="minorEastAsia" w:cstheme="minorEastAsia" w:hint="eastAsia"/>
                <w:sz w:val="18"/>
                <w:szCs w:val="18"/>
              </w:rPr>
              <w:t>一年内到期长期借款</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120,435.06</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127,390.27</w:t>
            </w: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3,271,858.31</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3,940,265.96</w:t>
            </w: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浮动利率金融工具</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6"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金融资产</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6" w:type="pct"/>
            <w:shd w:val="clear" w:color="auto" w:fill="auto"/>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666" w:type="pct"/>
            <w:shd w:val="clear" w:color="auto" w:fill="auto"/>
            <w:vAlign w:val="center"/>
          </w:tcPr>
          <w:p w:rsidR="00403CD6" w:rsidRDefault="00E91A59">
            <w:pPr>
              <w:autoSpaceDE w:val="0"/>
              <w:autoSpaceDN w:val="0"/>
              <w:adjustRightInd w:val="0"/>
              <w:snapToGrid w:val="0"/>
              <w:rPr>
                <w:rFonts w:asciiTheme="minorEastAsia" w:hAnsiTheme="minorEastAsia" w:cstheme="minorEastAsia"/>
                <w:sz w:val="18"/>
                <w:szCs w:val="18"/>
              </w:rPr>
            </w:pPr>
            <w:r>
              <w:rPr>
                <w:rFonts w:asciiTheme="minorEastAsia" w:hAnsiTheme="minorEastAsia" w:cstheme="minorEastAsia" w:hint="eastAsia"/>
                <w:sz w:val="18"/>
                <w:szCs w:val="18"/>
              </w:rPr>
              <w:t>其中：货币资金</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587,932.77</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1,208,180.01</w:t>
            </w:r>
          </w:p>
        </w:tc>
      </w:tr>
      <w:tr w:rsidR="00403CD6">
        <w:trPr>
          <w:cantSplit/>
          <w:trHeight w:val="284"/>
          <w:jc w:val="center"/>
        </w:trPr>
        <w:tc>
          <w:tcPr>
            <w:tcW w:w="1666" w:type="pct"/>
            <w:shd w:val="clear" w:color="auto" w:fill="D9D9D9" w:themeFill="background1" w:themeFillShade="D9"/>
            <w:vAlign w:val="center"/>
          </w:tcPr>
          <w:p w:rsidR="00403CD6" w:rsidRDefault="00E91A59">
            <w:pPr>
              <w:autoSpaceDE w:val="0"/>
              <w:autoSpaceDN w:val="0"/>
              <w:adjustRightInd w:val="0"/>
              <w:snapToGrid w:val="0"/>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587,932.77</w:t>
            </w:r>
          </w:p>
        </w:tc>
        <w:tc>
          <w:tcPr>
            <w:tcW w:w="166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1,208,180.01</w:t>
            </w:r>
          </w:p>
        </w:tc>
      </w:tr>
    </w:tbl>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对于资产负债表日持有的、使本公司面临公允价值利率风险的金融工具，上述敏感性分析中的净利润及股东权益的影响是假设在资产负债表日利率发生变动，按照新利率对上述金融工具进行重新计量后的影响。对于资产负债表日持有的、使本公司面临现金流量利率风险的浮动利率非衍生工具，上述敏感性分析中的净利润及股东权益的影响是上述利率变动对按年度估算的利息费用或收入的影响。上一年度的分析基于同样的假设和方法。</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lastRenderedPageBreak/>
        <w:t>汇率风险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汇率风险，是指金融工具的公允价值或未来现金流量因外汇汇率变动而发生波动的风险。汇率风险可源于以记账本位币之外的外币进行计价的金融工具。</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本公司的主要经营位于中国境内，主要业务以人民币结算。但本公司已确认的外币资产和负债及未来的外币交易（外币资产和负债及外币交易的计价货币主要为（美元、欧元、港币和日元）依然存在外汇风险。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于</w:t>
      </w: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31</w:t>
      </w:r>
      <w:r>
        <w:rPr>
          <w:rFonts w:ascii="Times New Roman" w:eastAsiaTheme="minorEastAsia" w:hAnsi="Times New Roman" w:cs="Times New Roman" w:hint="eastAsia"/>
          <w:sz w:val="18"/>
          <w:szCs w:val="18"/>
        </w:rPr>
        <w:t>日，本公司持有的外币金融资产和外币金融负债折算成人民币的金额列示如下（单位：人民币万元）：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2893"/>
        <w:gridCol w:w="1730"/>
        <w:gridCol w:w="1728"/>
        <w:gridCol w:w="1728"/>
        <w:gridCol w:w="1728"/>
      </w:tblGrid>
      <w:tr w:rsidR="00403CD6">
        <w:trPr>
          <w:cantSplit/>
          <w:trHeight w:val="284"/>
          <w:jc w:val="center"/>
        </w:trPr>
        <w:tc>
          <w:tcPr>
            <w:tcW w:w="1475" w:type="pct"/>
            <w:vMerge w:val="restart"/>
            <w:shd w:val="clear" w:color="auto" w:fill="D9D9D9" w:themeFill="background1" w:themeFillShade="D9"/>
            <w:vAlign w:val="center"/>
          </w:tcPr>
          <w:p w:rsidR="00403CD6" w:rsidRDefault="00E91A59">
            <w:pPr>
              <w:autoSpaceDE w:val="0"/>
              <w:autoSpaceDN w:val="0"/>
              <w:snapToGrid w:val="0"/>
              <w:jc w:val="center"/>
              <w:rPr>
                <w:rFonts w:ascii="宋体" w:eastAsia="宋体" w:hAnsi="宋体" w:cs="Arial"/>
                <w:sz w:val="18"/>
                <w:szCs w:val="18"/>
              </w:rPr>
            </w:pPr>
            <w:r>
              <w:rPr>
                <w:rFonts w:ascii="宋体" w:eastAsia="宋体" w:hAnsi="宋体" w:cs="Arial"/>
                <w:sz w:val="18"/>
                <w:szCs w:val="18"/>
              </w:rPr>
              <w:t>项目</w:t>
            </w:r>
          </w:p>
        </w:tc>
        <w:tc>
          <w:tcPr>
            <w:tcW w:w="1763"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外币负债</w:t>
            </w:r>
          </w:p>
        </w:tc>
        <w:tc>
          <w:tcPr>
            <w:tcW w:w="1762"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cs="Arial"/>
                <w:sz w:val="18"/>
                <w:szCs w:val="18"/>
              </w:rPr>
            </w:pPr>
            <w:r>
              <w:rPr>
                <w:rFonts w:ascii="宋体" w:eastAsia="宋体" w:hAnsi="宋体" w:cs="Arial"/>
                <w:sz w:val="18"/>
                <w:szCs w:val="18"/>
              </w:rPr>
              <w:t>外币资产</w:t>
            </w:r>
          </w:p>
        </w:tc>
      </w:tr>
      <w:tr w:rsidR="00403CD6">
        <w:trPr>
          <w:cantSplit/>
          <w:trHeight w:val="284"/>
          <w:jc w:val="center"/>
        </w:trPr>
        <w:tc>
          <w:tcPr>
            <w:tcW w:w="1475" w:type="pct"/>
            <w:vMerge/>
            <w:shd w:val="clear" w:color="auto" w:fill="D9D9D9" w:themeFill="background1" w:themeFillShade="D9"/>
            <w:vAlign w:val="center"/>
          </w:tcPr>
          <w:p w:rsidR="00403CD6" w:rsidRDefault="00403CD6">
            <w:pPr>
              <w:tabs>
                <w:tab w:val="left" w:pos="735"/>
              </w:tabs>
              <w:snapToGrid w:val="0"/>
              <w:jc w:val="center"/>
              <w:rPr>
                <w:rFonts w:ascii="宋体" w:eastAsia="宋体" w:hAnsi="宋体"/>
                <w:sz w:val="18"/>
                <w:szCs w:val="18"/>
              </w:rPr>
            </w:pPr>
          </w:p>
        </w:tc>
        <w:tc>
          <w:tcPr>
            <w:tcW w:w="882"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期末</w:t>
            </w:r>
            <w:r>
              <w:rPr>
                <w:rFonts w:ascii="宋体" w:eastAsia="宋体" w:hAnsi="宋体" w:cs="Arial" w:hint="eastAsia"/>
                <w:sz w:val="18"/>
                <w:szCs w:val="18"/>
              </w:rPr>
              <w:t>余额</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hint="eastAsia"/>
                <w:sz w:val="18"/>
                <w:szCs w:val="18"/>
              </w:rPr>
              <w:t>上年年末余额</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期末</w:t>
            </w:r>
            <w:r>
              <w:rPr>
                <w:rFonts w:ascii="宋体" w:eastAsia="宋体" w:hAnsi="宋体" w:cs="Arial" w:hint="eastAsia"/>
                <w:sz w:val="18"/>
                <w:szCs w:val="18"/>
              </w:rPr>
              <w:t>余额</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hint="eastAsia"/>
                <w:sz w:val="18"/>
                <w:szCs w:val="18"/>
              </w:rPr>
              <w:t>上年年末余额</w:t>
            </w: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美元</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66,705.08</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sz w:val="18"/>
                <w:szCs w:val="18"/>
              </w:rPr>
              <w:t>60,628.27</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42,042.69</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45,596.22</w:t>
            </w: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欧元</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3,838.45</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sz w:val="18"/>
                <w:szCs w:val="18"/>
              </w:rPr>
              <w:t>1,460.24</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1,044.24</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4,305.63</w:t>
            </w: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港币</w:t>
            </w:r>
          </w:p>
        </w:tc>
        <w:tc>
          <w:tcPr>
            <w:tcW w:w="882"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143.97</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204.24</w:t>
            </w: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日元</w:t>
            </w:r>
          </w:p>
        </w:tc>
        <w:tc>
          <w:tcPr>
            <w:tcW w:w="882"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677.92</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736.8</w:t>
            </w:r>
          </w:p>
        </w:tc>
      </w:tr>
      <w:tr w:rsidR="00403CD6">
        <w:trPr>
          <w:cantSplit/>
          <w:trHeight w:val="284"/>
          <w:jc w:val="center"/>
        </w:trPr>
        <w:tc>
          <w:tcPr>
            <w:tcW w:w="1475" w:type="pct"/>
            <w:shd w:val="clear" w:color="auto" w:fill="auto"/>
            <w:vAlign w:val="center"/>
          </w:tcPr>
          <w:p w:rsidR="00403CD6" w:rsidRDefault="00E91A59">
            <w:pPr>
              <w:widowControl/>
              <w:rPr>
                <w:rFonts w:asciiTheme="minorEastAsia" w:hAnsiTheme="minorEastAsia" w:cstheme="minorEastAsia"/>
                <w:color w:val="000000"/>
                <w:kern w:val="0"/>
                <w:sz w:val="18"/>
                <w:szCs w:val="18"/>
              </w:rPr>
            </w:pPr>
            <w:r>
              <w:rPr>
                <w:rFonts w:asciiTheme="minorEastAsia" w:hAnsiTheme="minorEastAsia" w:cstheme="minorEastAsia" w:hint="eastAsia"/>
                <w:color w:val="000000"/>
                <w:sz w:val="18"/>
                <w:szCs w:val="18"/>
              </w:rPr>
              <w:t>新加坡元</w:t>
            </w:r>
          </w:p>
        </w:tc>
        <w:tc>
          <w:tcPr>
            <w:tcW w:w="882"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color w:val="000000"/>
                <w:sz w:val="18"/>
                <w:szCs w:val="18"/>
              </w:rPr>
            </w:pPr>
            <w:r>
              <w:rPr>
                <w:rFonts w:ascii="Times New Roman" w:hAnsi="Times New Roman" w:cs="Times New Roman"/>
                <w:color w:val="000000"/>
                <w:sz w:val="18"/>
                <w:szCs w:val="18"/>
              </w:rPr>
              <w:t>2.12</w:t>
            </w:r>
          </w:p>
        </w:tc>
        <w:tc>
          <w:tcPr>
            <w:tcW w:w="881"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英镑</w:t>
            </w:r>
          </w:p>
        </w:tc>
        <w:tc>
          <w:tcPr>
            <w:tcW w:w="882"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403CD6">
            <w:pPr>
              <w:autoSpaceDE w:val="0"/>
              <w:autoSpaceDN w:val="0"/>
              <w:adjustRightInd w:val="0"/>
              <w:snapToGrid w:val="0"/>
              <w:jc w:val="right"/>
              <w:rPr>
                <w:rFonts w:ascii="Times New Roman" w:hAnsi="Times New Roman" w:cs="Times New Roman"/>
                <w:sz w:val="18"/>
                <w:szCs w:val="18"/>
              </w:rPr>
            </w:pP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1.61</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1.33</w:t>
            </w:r>
          </w:p>
        </w:tc>
      </w:tr>
      <w:tr w:rsidR="00403CD6">
        <w:trPr>
          <w:cantSplit/>
          <w:trHeight w:val="284"/>
          <w:jc w:val="center"/>
        </w:trPr>
        <w:tc>
          <w:tcPr>
            <w:tcW w:w="1475" w:type="pct"/>
            <w:shd w:val="clear" w:color="auto" w:fill="D9D9D9" w:themeFill="background1" w:themeFillShade="D9"/>
            <w:vAlign w:val="center"/>
          </w:tcPr>
          <w:p w:rsidR="00403CD6" w:rsidRDefault="00E91A59">
            <w:pPr>
              <w:autoSpaceDE w:val="0"/>
              <w:autoSpaceDN w:val="0"/>
              <w:snapToGrid w:val="0"/>
              <w:jc w:val="center"/>
              <w:rPr>
                <w:rFonts w:asciiTheme="minorEastAsia" w:hAnsiTheme="minorEastAsia" w:cstheme="minorEastAsia"/>
                <w:sz w:val="18"/>
                <w:szCs w:val="18"/>
              </w:rPr>
            </w:pPr>
            <w:r>
              <w:rPr>
                <w:rFonts w:asciiTheme="minorEastAsia" w:hAnsiTheme="minorEastAsia" w:cstheme="minorEastAsia" w:hint="eastAsia"/>
                <w:sz w:val="18"/>
                <w:szCs w:val="18"/>
              </w:rPr>
              <w:t>合计</w:t>
            </w:r>
          </w:p>
        </w:tc>
        <w:tc>
          <w:tcPr>
            <w:tcW w:w="882" w:type="pct"/>
            <w:shd w:val="clear" w:color="auto" w:fill="auto"/>
            <w:vAlign w:val="center"/>
          </w:tcPr>
          <w:p w:rsidR="00403CD6" w:rsidRDefault="00E91A59">
            <w:pPr>
              <w:widowControl/>
              <w:jc w:val="right"/>
              <w:rPr>
                <w:rFonts w:ascii="Times New Roman" w:hAnsi="Times New Roman" w:cs="Times New Roman"/>
                <w:color w:val="000000"/>
                <w:kern w:val="0"/>
                <w:sz w:val="18"/>
                <w:szCs w:val="18"/>
              </w:rPr>
            </w:pPr>
            <w:r>
              <w:rPr>
                <w:rFonts w:ascii="Times New Roman" w:hAnsi="Times New Roman" w:cs="Times New Roman"/>
                <w:color w:val="000000"/>
                <w:sz w:val="18"/>
                <w:szCs w:val="18"/>
              </w:rPr>
              <w:t>70,543.53</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sz w:val="18"/>
                <w:szCs w:val="18"/>
              </w:rPr>
              <w:t>62,088.51</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43,912.55</w:t>
            </w:r>
          </w:p>
        </w:tc>
        <w:tc>
          <w:tcPr>
            <w:tcW w:w="881"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50,844.22</w:t>
            </w:r>
          </w:p>
        </w:tc>
      </w:tr>
    </w:tbl>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本公司持续监控集团外币交易和外币资产及负债的规模，以最大程度降低面临的外汇风险；为此，本公司可能会以签署远期外汇合约或货币互换合约的方式来达到规避外汇风险的目的。</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在其他变量不变的情况下，本年外币兑人民币汇率的可能合理变动对本公司当期损益的税后影响如下（单位：万元）：</w:t>
      </w:r>
      <w:r>
        <w:rPr>
          <w:rFonts w:ascii="Times New Roman" w:eastAsiaTheme="minorEastAsia" w:hAnsi="Times New Roman" w:cs="Times New Roman" w:hint="eastAsia"/>
          <w:sz w:val="18"/>
          <w:szCs w:val="18"/>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2889"/>
        <w:gridCol w:w="1730"/>
        <w:gridCol w:w="1730"/>
        <w:gridCol w:w="1728"/>
        <w:gridCol w:w="1730"/>
      </w:tblGrid>
      <w:tr w:rsidR="00403CD6">
        <w:trPr>
          <w:cantSplit/>
          <w:trHeight w:val="340"/>
          <w:tblHeader/>
          <w:jc w:val="center"/>
        </w:trPr>
        <w:tc>
          <w:tcPr>
            <w:tcW w:w="1473" w:type="pct"/>
            <w:shd w:val="clear" w:color="auto" w:fill="D9D9D9" w:themeFill="background1" w:themeFillShade="D9"/>
            <w:vAlign w:val="center"/>
          </w:tcPr>
          <w:p w:rsidR="00403CD6" w:rsidRDefault="00E91A59">
            <w:pPr>
              <w:tabs>
                <w:tab w:val="left" w:pos="735"/>
              </w:tabs>
              <w:snapToGrid w:val="0"/>
              <w:rPr>
                <w:rFonts w:ascii="宋体" w:eastAsia="宋体" w:hAnsi="宋体"/>
                <w:sz w:val="18"/>
                <w:szCs w:val="18"/>
              </w:rPr>
            </w:pPr>
            <w:r>
              <w:rPr>
                <w:rFonts w:ascii="宋体" w:eastAsia="宋体" w:hAnsi="宋体"/>
                <w:sz w:val="18"/>
                <w:szCs w:val="18"/>
              </w:rPr>
              <w:t>税后利润上升（下降）</w:t>
            </w:r>
          </w:p>
        </w:tc>
        <w:tc>
          <w:tcPr>
            <w:tcW w:w="1764"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本</w:t>
            </w:r>
            <w:r>
              <w:rPr>
                <w:rFonts w:ascii="宋体" w:eastAsia="宋体" w:hAnsi="宋体" w:cs="Arial" w:hint="eastAsia"/>
                <w:sz w:val="18"/>
                <w:szCs w:val="18"/>
              </w:rPr>
              <w:t>期</w:t>
            </w:r>
            <w:r>
              <w:rPr>
                <w:rFonts w:ascii="宋体" w:eastAsia="宋体" w:hAnsi="宋体" w:cs="Arial"/>
                <w:sz w:val="18"/>
                <w:szCs w:val="18"/>
              </w:rPr>
              <w:t>数</w:t>
            </w:r>
          </w:p>
        </w:tc>
        <w:tc>
          <w:tcPr>
            <w:tcW w:w="1763"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上</w:t>
            </w:r>
            <w:r>
              <w:rPr>
                <w:rFonts w:ascii="宋体" w:eastAsia="宋体" w:hAnsi="宋体" w:cs="Arial" w:hint="eastAsia"/>
                <w:sz w:val="18"/>
                <w:szCs w:val="18"/>
              </w:rPr>
              <w:t>期</w:t>
            </w:r>
            <w:r>
              <w:rPr>
                <w:rFonts w:ascii="宋体" w:eastAsia="宋体" w:hAnsi="宋体" w:cs="Arial"/>
                <w:sz w:val="18"/>
                <w:szCs w:val="18"/>
              </w:rPr>
              <w:t>数</w:t>
            </w:r>
          </w:p>
        </w:tc>
      </w:tr>
      <w:tr w:rsidR="00403CD6">
        <w:trPr>
          <w:cantSplit/>
          <w:trHeight w:val="340"/>
          <w:jc w:val="center"/>
        </w:trPr>
        <w:tc>
          <w:tcPr>
            <w:tcW w:w="1473"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美元汇率上升</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-1,233.12</w:t>
            </w:r>
          </w:p>
        </w:tc>
        <w:tc>
          <w:tcPr>
            <w:tcW w:w="881"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sz w:val="18"/>
                <w:szCs w:val="18"/>
              </w:rPr>
              <w:t>-751.60</w:t>
            </w:r>
          </w:p>
        </w:tc>
      </w:tr>
      <w:tr w:rsidR="00403CD6">
        <w:trPr>
          <w:cantSplit/>
          <w:trHeight w:val="340"/>
          <w:jc w:val="center"/>
        </w:trPr>
        <w:tc>
          <w:tcPr>
            <w:tcW w:w="1473"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美元汇率下降</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color w:val="000000"/>
                <w:sz w:val="18"/>
                <w:szCs w:val="18"/>
              </w:rPr>
              <w:t>1,233.12</w:t>
            </w:r>
          </w:p>
        </w:tc>
        <w:tc>
          <w:tcPr>
            <w:tcW w:w="881"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751.60</w:t>
            </w:r>
          </w:p>
        </w:tc>
      </w:tr>
      <w:tr w:rsidR="00403CD6">
        <w:trPr>
          <w:cantSplit/>
          <w:trHeight w:val="340"/>
          <w:jc w:val="center"/>
        </w:trPr>
        <w:tc>
          <w:tcPr>
            <w:tcW w:w="1473"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欧元汇率上升</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hint="eastAsia"/>
                <w:color w:val="000000"/>
                <w:sz w:val="18"/>
                <w:szCs w:val="18"/>
              </w:rPr>
              <w:t>-139.71</w:t>
            </w:r>
          </w:p>
        </w:tc>
        <w:tc>
          <w:tcPr>
            <w:tcW w:w="881"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142.27</w:t>
            </w:r>
          </w:p>
        </w:tc>
      </w:tr>
      <w:tr w:rsidR="00403CD6">
        <w:trPr>
          <w:cantSplit/>
          <w:trHeight w:val="340"/>
          <w:jc w:val="center"/>
        </w:trPr>
        <w:tc>
          <w:tcPr>
            <w:tcW w:w="1473"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sz w:val="18"/>
                <w:szCs w:val="18"/>
              </w:rPr>
              <w:t>欧元汇率下降</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adjustRightInd w:val="0"/>
              <w:snapToGrid w:val="0"/>
              <w:jc w:val="right"/>
              <w:rPr>
                <w:rFonts w:ascii="Times New Roman" w:hAnsi="Times New Roman" w:cs="Times New Roman"/>
                <w:sz w:val="18"/>
                <w:szCs w:val="18"/>
              </w:rPr>
            </w:pPr>
            <w:r>
              <w:rPr>
                <w:rFonts w:ascii="Times New Roman" w:hAnsi="Times New Roman" w:cs="Times New Roman" w:hint="eastAsia"/>
                <w:color w:val="000000"/>
                <w:sz w:val="18"/>
                <w:szCs w:val="18"/>
              </w:rPr>
              <w:t>139.71</w:t>
            </w:r>
          </w:p>
        </w:tc>
        <w:tc>
          <w:tcPr>
            <w:tcW w:w="881"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-5%</w:t>
            </w:r>
          </w:p>
        </w:tc>
        <w:tc>
          <w:tcPr>
            <w:tcW w:w="882" w:type="pct"/>
            <w:shd w:val="clear" w:color="auto" w:fill="auto"/>
            <w:vAlign w:val="center"/>
          </w:tcPr>
          <w:p w:rsidR="00403CD6" w:rsidRDefault="00E91A59">
            <w:pPr>
              <w:autoSpaceDE w:val="0"/>
              <w:autoSpaceDN w:val="0"/>
              <w:snapToGrid w:val="0"/>
              <w:jc w:val="right"/>
              <w:rPr>
                <w:rFonts w:ascii="Times New Roman" w:hAnsi="Times New Roman" w:cs="Times New Roman"/>
                <w:sz w:val="18"/>
                <w:szCs w:val="18"/>
              </w:rPr>
            </w:pPr>
            <w:r>
              <w:rPr>
                <w:rFonts w:ascii="Times New Roman" w:hAnsi="Times New Roman" w:cs="Times New Roman"/>
                <w:sz w:val="18"/>
                <w:szCs w:val="18"/>
              </w:rPr>
              <w:t>-142.27</w:t>
            </w:r>
          </w:p>
        </w:tc>
      </w:tr>
    </w:tbl>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其他价格风险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其他价格风险，是指汇率风险和利率风险以外的市场价格变动而发生波动的风险，无论这些变动是由于与单项金融工具或其发行方有关的因素而引起的，还是由于与市场内交易的所有类似金融工具有关的因素而引起的。其他价格风险可源于商品价格、股票市场指数、权益工具价格以及其他风险变量的变化</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本公司持有的分类为交易性金融资产、其他非流动金融资产及其他权益工具投资的上市权益工具投资在资产负债表日以公允价值计量。因此，本公司承担着证券市场变动的风险。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本公司密切关注价格变动对本公司权益证券投资价格风险的影响。本公司目前并未采取任何措施规避其他价格风险。但管理</w:t>
      </w:r>
      <w:proofErr w:type="gramStart"/>
      <w:r>
        <w:rPr>
          <w:rFonts w:ascii="Times New Roman" w:eastAsiaTheme="minorEastAsia" w:hAnsi="Times New Roman" w:cs="Times New Roman" w:hint="eastAsia"/>
          <w:sz w:val="18"/>
          <w:szCs w:val="18"/>
        </w:rPr>
        <w:t>层负责</w:t>
      </w:r>
      <w:proofErr w:type="gramEnd"/>
      <w:r>
        <w:rPr>
          <w:rFonts w:ascii="Times New Roman" w:eastAsiaTheme="minorEastAsia" w:hAnsi="Times New Roman" w:cs="Times New Roman" w:hint="eastAsia"/>
          <w:sz w:val="18"/>
          <w:szCs w:val="18"/>
        </w:rPr>
        <w:t>监控其他价格风险，并将于需要时考虑采取持有多种权益证券组合的方式降低权益证券投资的价格风险。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在其他变量不变的情况下，权益证券投资价格本年</w:t>
      </w:r>
      <w:r>
        <w:rPr>
          <w:rFonts w:ascii="Times New Roman" w:eastAsiaTheme="minorEastAsia" w:hAnsi="Times New Roman" w:cs="Times New Roman" w:hint="eastAsia"/>
          <w:sz w:val="18"/>
          <w:szCs w:val="18"/>
        </w:rPr>
        <w:t>-19.52%</w:t>
      </w:r>
      <w:r>
        <w:rPr>
          <w:rFonts w:ascii="Times New Roman" w:eastAsiaTheme="minorEastAsia" w:hAnsi="Times New Roman" w:cs="Times New Roman" w:hint="eastAsia"/>
          <w:sz w:val="18"/>
          <w:szCs w:val="18"/>
        </w:rPr>
        <w:t>（上年：</w:t>
      </w:r>
      <w:r>
        <w:rPr>
          <w:rFonts w:ascii="Times New Roman" w:eastAsiaTheme="minorEastAsia" w:hAnsi="Times New Roman" w:cs="Times New Roman" w:hint="eastAsia"/>
          <w:sz w:val="18"/>
          <w:szCs w:val="18"/>
        </w:rPr>
        <w:t>-38.03%</w:t>
      </w:r>
      <w:r>
        <w:rPr>
          <w:rFonts w:ascii="Times New Roman" w:eastAsiaTheme="minorEastAsia" w:hAnsi="Times New Roman" w:cs="Times New Roman" w:hint="eastAsia"/>
          <w:sz w:val="18"/>
          <w:szCs w:val="18"/>
        </w:rPr>
        <w:t>）的变动对本公司当期损益及其他综合收益的税后影响如下（单位：万元）：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2894"/>
        <w:gridCol w:w="1729"/>
        <w:gridCol w:w="1728"/>
        <w:gridCol w:w="1728"/>
        <w:gridCol w:w="1728"/>
      </w:tblGrid>
      <w:tr w:rsidR="00403CD6">
        <w:trPr>
          <w:cantSplit/>
          <w:trHeight w:val="284"/>
          <w:jc w:val="center"/>
        </w:trPr>
        <w:tc>
          <w:tcPr>
            <w:tcW w:w="1475" w:type="pct"/>
            <w:vMerge w:val="restart"/>
            <w:shd w:val="clear" w:color="auto" w:fill="D9D9D9" w:themeFill="background1" w:themeFillShade="D9"/>
            <w:vAlign w:val="center"/>
          </w:tcPr>
          <w:p w:rsidR="00403CD6" w:rsidRDefault="00E91A59">
            <w:pPr>
              <w:autoSpaceDE w:val="0"/>
              <w:autoSpaceDN w:val="0"/>
              <w:snapToGrid w:val="0"/>
              <w:jc w:val="center"/>
              <w:rPr>
                <w:rFonts w:ascii="宋体" w:eastAsia="宋体" w:hAnsi="宋体" w:cs="Arial"/>
                <w:sz w:val="18"/>
                <w:szCs w:val="18"/>
              </w:rPr>
            </w:pPr>
            <w:r>
              <w:rPr>
                <w:rFonts w:ascii="宋体" w:eastAsia="宋体" w:hAnsi="宋体" w:cs="Arial"/>
                <w:sz w:val="18"/>
                <w:szCs w:val="18"/>
              </w:rPr>
              <w:t>项目</w:t>
            </w:r>
          </w:p>
        </w:tc>
        <w:tc>
          <w:tcPr>
            <w:tcW w:w="1762"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税后利润上升（下降）</w:t>
            </w:r>
          </w:p>
        </w:tc>
        <w:tc>
          <w:tcPr>
            <w:tcW w:w="1762" w:type="pct"/>
            <w:gridSpan w:val="2"/>
            <w:shd w:val="clear" w:color="auto" w:fill="D9D9D9" w:themeFill="background1" w:themeFillShade="D9"/>
            <w:vAlign w:val="center"/>
          </w:tcPr>
          <w:p w:rsidR="00403CD6" w:rsidRDefault="00E91A59">
            <w:pPr>
              <w:autoSpaceDE w:val="0"/>
              <w:autoSpaceDN w:val="0"/>
              <w:snapToGrid w:val="0"/>
              <w:jc w:val="center"/>
              <w:rPr>
                <w:rFonts w:ascii="宋体" w:eastAsia="宋体" w:hAnsi="宋体" w:cs="Arial"/>
                <w:sz w:val="18"/>
                <w:szCs w:val="18"/>
              </w:rPr>
            </w:pPr>
            <w:r>
              <w:rPr>
                <w:rFonts w:ascii="宋体" w:eastAsia="宋体" w:hAnsi="宋体" w:cs="Arial"/>
                <w:sz w:val="18"/>
                <w:szCs w:val="18"/>
              </w:rPr>
              <w:t>其他综合收益上升（下降）</w:t>
            </w:r>
          </w:p>
        </w:tc>
      </w:tr>
      <w:tr w:rsidR="00403CD6">
        <w:trPr>
          <w:cantSplit/>
          <w:trHeight w:val="284"/>
          <w:jc w:val="center"/>
        </w:trPr>
        <w:tc>
          <w:tcPr>
            <w:tcW w:w="1475" w:type="pct"/>
            <w:vMerge/>
            <w:shd w:val="clear" w:color="auto" w:fill="D9D9D9" w:themeFill="background1" w:themeFillShade="D9"/>
            <w:vAlign w:val="center"/>
          </w:tcPr>
          <w:p w:rsidR="00403CD6" w:rsidRDefault="00403CD6">
            <w:pPr>
              <w:tabs>
                <w:tab w:val="left" w:pos="735"/>
              </w:tabs>
              <w:snapToGrid w:val="0"/>
              <w:jc w:val="center"/>
              <w:rPr>
                <w:rFonts w:ascii="宋体" w:eastAsia="宋体" w:hAnsi="宋体"/>
                <w:sz w:val="18"/>
                <w:szCs w:val="18"/>
              </w:rPr>
            </w:pP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本</w:t>
            </w:r>
            <w:r>
              <w:rPr>
                <w:rFonts w:ascii="宋体" w:eastAsia="宋体" w:hAnsi="宋体" w:cs="Arial" w:hint="eastAsia"/>
                <w:sz w:val="18"/>
                <w:szCs w:val="18"/>
              </w:rPr>
              <w:t>期</w:t>
            </w:r>
            <w:r>
              <w:rPr>
                <w:rFonts w:ascii="宋体" w:eastAsia="宋体" w:hAnsi="宋体" w:cs="Arial"/>
                <w:sz w:val="18"/>
                <w:szCs w:val="18"/>
              </w:rPr>
              <w:t>数</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上</w:t>
            </w:r>
            <w:r>
              <w:rPr>
                <w:rFonts w:ascii="宋体" w:eastAsia="宋体" w:hAnsi="宋体" w:cs="Arial" w:hint="eastAsia"/>
                <w:sz w:val="18"/>
                <w:szCs w:val="18"/>
              </w:rPr>
              <w:t>期</w:t>
            </w:r>
            <w:r>
              <w:rPr>
                <w:rFonts w:ascii="宋体" w:eastAsia="宋体" w:hAnsi="宋体" w:cs="Arial"/>
                <w:sz w:val="18"/>
                <w:szCs w:val="18"/>
              </w:rPr>
              <w:t>数</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本</w:t>
            </w:r>
            <w:r>
              <w:rPr>
                <w:rFonts w:ascii="宋体" w:eastAsia="宋体" w:hAnsi="宋体" w:cs="Arial" w:hint="eastAsia"/>
                <w:sz w:val="18"/>
                <w:szCs w:val="18"/>
              </w:rPr>
              <w:t>期</w:t>
            </w:r>
            <w:r>
              <w:rPr>
                <w:rFonts w:ascii="宋体" w:eastAsia="宋体" w:hAnsi="宋体" w:cs="Arial"/>
                <w:sz w:val="18"/>
                <w:szCs w:val="18"/>
              </w:rPr>
              <w:t>数</w:t>
            </w:r>
          </w:p>
        </w:tc>
        <w:tc>
          <w:tcPr>
            <w:tcW w:w="881" w:type="pct"/>
            <w:shd w:val="clear" w:color="auto" w:fill="D9D9D9" w:themeFill="background1" w:themeFillShade="D9"/>
            <w:vAlign w:val="center"/>
          </w:tcPr>
          <w:p w:rsidR="00403CD6" w:rsidRDefault="00E91A59">
            <w:pPr>
              <w:autoSpaceDE w:val="0"/>
              <w:autoSpaceDN w:val="0"/>
              <w:snapToGrid w:val="0"/>
              <w:jc w:val="center"/>
              <w:rPr>
                <w:rFonts w:ascii="宋体" w:eastAsia="宋体" w:hAnsi="宋体"/>
                <w:sz w:val="18"/>
                <w:szCs w:val="18"/>
              </w:rPr>
            </w:pPr>
            <w:r>
              <w:rPr>
                <w:rFonts w:ascii="宋体" w:eastAsia="宋体" w:hAnsi="宋体" w:cs="Arial"/>
                <w:sz w:val="18"/>
                <w:szCs w:val="18"/>
              </w:rPr>
              <w:t>上</w:t>
            </w:r>
            <w:r>
              <w:rPr>
                <w:rFonts w:ascii="宋体" w:eastAsia="宋体" w:hAnsi="宋体" w:cs="Arial" w:hint="eastAsia"/>
                <w:sz w:val="18"/>
                <w:szCs w:val="18"/>
              </w:rPr>
              <w:t>期</w:t>
            </w:r>
            <w:r>
              <w:rPr>
                <w:rFonts w:ascii="宋体" w:eastAsia="宋体" w:hAnsi="宋体" w:cs="Arial"/>
                <w:sz w:val="18"/>
                <w:szCs w:val="18"/>
              </w:rPr>
              <w:t>数</w:t>
            </w: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color w:val="FF0000"/>
                <w:sz w:val="18"/>
                <w:szCs w:val="18"/>
              </w:rPr>
            </w:pPr>
            <w:r>
              <w:rPr>
                <w:rFonts w:asciiTheme="minorEastAsia" w:hAnsiTheme="minorEastAsia" w:cstheme="minorEastAsia" w:hint="eastAsia"/>
                <w:color w:val="000000"/>
                <w:sz w:val="18"/>
                <w:szCs w:val="18"/>
              </w:rPr>
              <w:t>因权益证券投资价格上升</w:t>
            </w:r>
          </w:p>
        </w:tc>
        <w:tc>
          <w:tcPr>
            <w:tcW w:w="881" w:type="pct"/>
            <w:shd w:val="clear" w:color="auto" w:fill="auto"/>
            <w:vAlign w:val="center"/>
          </w:tcPr>
          <w:p w:rsidR="00403CD6" w:rsidRDefault="00403CD6">
            <w:pPr>
              <w:jc w:val="right"/>
              <w:rPr>
                <w:rFonts w:ascii="Times New Roman" w:hAnsi="Times New Roman" w:cs="Times New Roman"/>
                <w:sz w:val="18"/>
                <w:szCs w:val="18"/>
              </w:rPr>
            </w:pPr>
          </w:p>
        </w:tc>
        <w:tc>
          <w:tcPr>
            <w:tcW w:w="881" w:type="pct"/>
            <w:shd w:val="clear" w:color="auto" w:fill="auto"/>
            <w:vAlign w:val="center"/>
          </w:tcPr>
          <w:p w:rsidR="00403CD6" w:rsidRDefault="00403CD6">
            <w:pPr>
              <w:jc w:val="right"/>
              <w:rPr>
                <w:rFonts w:ascii="Times New Roman" w:hAnsi="Times New Roman" w:cs="Times New Roman"/>
                <w:sz w:val="18"/>
                <w:szCs w:val="18"/>
              </w:rPr>
            </w:pPr>
          </w:p>
        </w:tc>
        <w:tc>
          <w:tcPr>
            <w:tcW w:w="881" w:type="pct"/>
            <w:vAlign w:val="center"/>
          </w:tcPr>
          <w:p w:rsidR="00403CD6" w:rsidRDefault="00403CD6">
            <w:pPr>
              <w:jc w:val="right"/>
              <w:rPr>
                <w:rFonts w:ascii="宋体" w:eastAsia="宋体" w:hAnsi="宋体"/>
                <w:sz w:val="18"/>
                <w:szCs w:val="18"/>
              </w:rPr>
            </w:pPr>
          </w:p>
        </w:tc>
        <w:tc>
          <w:tcPr>
            <w:tcW w:w="881" w:type="pct"/>
            <w:vAlign w:val="center"/>
          </w:tcPr>
          <w:p w:rsidR="00403CD6" w:rsidRDefault="00403CD6">
            <w:pPr>
              <w:jc w:val="right"/>
              <w:rPr>
                <w:rFonts w:ascii="宋体" w:eastAsia="宋体" w:hAnsi="宋体"/>
                <w:sz w:val="18"/>
                <w:szCs w:val="18"/>
              </w:rPr>
            </w:pPr>
          </w:p>
        </w:tc>
      </w:tr>
      <w:tr w:rsidR="00403CD6">
        <w:trPr>
          <w:cantSplit/>
          <w:trHeight w:val="284"/>
          <w:jc w:val="center"/>
        </w:trPr>
        <w:tc>
          <w:tcPr>
            <w:tcW w:w="1475" w:type="pct"/>
            <w:shd w:val="clear" w:color="auto" w:fill="auto"/>
            <w:vAlign w:val="center"/>
          </w:tcPr>
          <w:p w:rsidR="00403CD6" w:rsidRDefault="00E91A59">
            <w:pPr>
              <w:tabs>
                <w:tab w:val="left" w:pos="735"/>
              </w:tabs>
              <w:snapToGrid w:val="0"/>
              <w:rPr>
                <w:rFonts w:asciiTheme="minorEastAsia" w:hAnsiTheme="minorEastAsia" w:cstheme="minorEastAsia"/>
                <w:sz w:val="18"/>
                <w:szCs w:val="18"/>
              </w:rPr>
            </w:pPr>
            <w:r>
              <w:rPr>
                <w:rFonts w:asciiTheme="minorEastAsia" w:hAnsiTheme="minorEastAsia" w:cstheme="minorEastAsia" w:hint="eastAsia"/>
                <w:color w:val="000000"/>
                <w:sz w:val="18"/>
                <w:szCs w:val="18"/>
              </w:rPr>
              <w:t>因权益证券投资价格下降</w:t>
            </w:r>
          </w:p>
        </w:tc>
        <w:tc>
          <w:tcPr>
            <w:tcW w:w="88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-903.50</w:t>
            </w:r>
          </w:p>
        </w:tc>
        <w:tc>
          <w:tcPr>
            <w:tcW w:w="88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-2,841.42</w:t>
            </w:r>
          </w:p>
        </w:tc>
        <w:tc>
          <w:tcPr>
            <w:tcW w:w="881" w:type="pct"/>
            <w:vAlign w:val="center"/>
          </w:tcPr>
          <w:p w:rsidR="00403CD6" w:rsidRDefault="00403CD6">
            <w:pPr>
              <w:jc w:val="right"/>
              <w:rPr>
                <w:rFonts w:ascii="宋体" w:eastAsia="宋体" w:hAnsi="宋体"/>
                <w:sz w:val="18"/>
                <w:szCs w:val="18"/>
              </w:rPr>
            </w:pPr>
          </w:p>
        </w:tc>
        <w:tc>
          <w:tcPr>
            <w:tcW w:w="881" w:type="pct"/>
            <w:vAlign w:val="center"/>
          </w:tcPr>
          <w:p w:rsidR="00403CD6" w:rsidRDefault="00403CD6">
            <w:pPr>
              <w:jc w:val="right"/>
              <w:rPr>
                <w:rFonts w:ascii="宋体" w:eastAsia="宋体" w:hAnsi="宋体"/>
                <w:sz w:val="18"/>
                <w:szCs w:val="18"/>
              </w:rPr>
            </w:pP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b/>
          <w:bCs/>
          <w:szCs w:val="21"/>
        </w:rPr>
        <w:t>2、</w:t>
      </w:r>
      <w:r>
        <w:rPr>
          <w:rFonts w:ascii="宋体" w:eastAsia="宋体" w:hAnsi="宋体" w:cs="宋体" w:hint="eastAsia"/>
          <w:b/>
          <w:bCs/>
          <w:szCs w:val="21"/>
        </w:rPr>
        <w:t>资本管理</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本公司资本管理政策的目标是为了保障本公司能够持续经营，从而为股东提供回报，并使其他利益相关者获益，同时维持最佳的资本结构以降低资本成本。</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lastRenderedPageBreak/>
        <w:t>为了维持或调整资本结构，本公司可能会调整融资方式、调整支付给股东的股利金额、向股东返还资本、发行新股与其他权益工具或出售资产以减低债务。</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本公司以资产负债率（即总负债除以总资产）为基础对资本结构进行监控。于</w:t>
      </w: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31</w:t>
      </w:r>
      <w:r>
        <w:rPr>
          <w:rFonts w:ascii="Times New Roman" w:eastAsiaTheme="minorEastAsia" w:hAnsi="Times New Roman" w:cs="Times New Roman" w:hint="eastAsia"/>
          <w:sz w:val="18"/>
          <w:szCs w:val="18"/>
        </w:rPr>
        <w:t>日，本公司的资产负债率为</w:t>
      </w:r>
      <w:r>
        <w:rPr>
          <w:rFonts w:ascii="Times New Roman" w:eastAsiaTheme="minorEastAsia" w:hAnsi="Times New Roman" w:cs="Times New Roman" w:hint="eastAsia"/>
          <w:sz w:val="18"/>
          <w:szCs w:val="18"/>
        </w:rPr>
        <w:t>79.</w:t>
      </w:r>
      <w:r w:rsidR="00F60653">
        <w:rPr>
          <w:rFonts w:ascii="Times New Roman" w:eastAsiaTheme="minorEastAsia" w:hAnsi="Times New Roman" w:cs="Times New Roman" w:hint="eastAsia"/>
          <w:sz w:val="18"/>
          <w:szCs w:val="18"/>
        </w:rPr>
        <w:t>79</w:t>
      </w: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31</w:t>
      </w:r>
      <w:r>
        <w:rPr>
          <w:rFonts w:ascii="Times New Roman" w:eastAsiaTheme="minorEastAsia" w:hAnsi="Times New Roman" w:cs="Times New Roman" w:hint="eastAsia"/>
          <w:sz w:val="18"/>
          <w:szCs w:val="18"/>
        </w:rPr>
        <w:t>日：</w:t>
      </w:r>
      <w:r>
        <w:rPr>
          <w:rFonts w:ascii="Times New Roman" w:eastAsiaTheme="minorEastAsia" w:hAnsi="Times New Roman" w:cs="Times New Roman" w:hint="eastAsia"/>
          <w:sz w:val="18"/>
          <w:szCs w:val="18"/>
        </w:rPr>
        <w:t>73.46%</w:t>
      </w:r>
      <w:r>
        <w:rPr>
          <w:rFonts w:ascii="Times New Roman" w:eastAsiaTheme="minorEastAsia" w:hAnsi="Times New Roman" w:cs="Times New Roman" w:hint="eastAsia"/>
          <w:sz w:val="18"/>
          <w:szCs w:val="18"/>
        </w:rPr>
        <w:t>）。</w:t>
      </w:r>
    </w:p>
    <w:p w:rsidR="00403CD6" w:rsidRDefault="00E91A59">
      <w:pPr>
        <w:keepNext/>
        <w:keepLines/>
        <w:spacing w:before="300" w:after="300" w:line="280" w:lineRule="exact"/>
        <w:outlineLvl w:val="2"/>
        <w:rPr>
          <w:rFonts w:ascii="宋体" w:eastAsia="宋体" w:hAnsi="宋体" w:cs="宋体"/>
          <w:b/>
          <w:bCs/>
          <w:szCs w:val="21"/>
        </w:rPr>
      </w:pPr>
      <w:bookmarkStart w:id="135" w:name="_Toc989466"/>
      <w:r>
        <w:rPr>
          <w:rFonts w:ascii="宋体" w:eastAsia="宋体" w:hAnsi="宋体" w:cs="宋体" w:hint="eastAsia"/>
          <w:b/>
          <w:bCs/>
          <w:szCs w:val="21"/>
        </w:rPr>
        <w:t>3、金融资产</w:t>
      </w:r>
      <w:bookmarkEnd w:id="135"/>
    </w:p>
    <w:p w:rsidR="00403CD6" w:rsidRDefault="00E91A59">
      <w:pPr>
        <w:keepNext/>
        <w:keepLines/>
        <w:spacing w:before="300" w:after="300" w:line="280" w:lineRule="exact"/>
        <w:outlineLvl w:val="3"/>
        <w:rPr>
          <w:rFonts w:ascii="宋体" w:eastAsia="宋体" w:hAnsi="宋体" w:cs="宋体"/>
          <w:b/>
          <w:bCs/>
          <w:sz w:val="18"/>
          <w:szCs w:val="18"/>
        </w:rPr>
      </w:pPr>
      <w:bookmarkStart w:id="136" w:name="_Toc989467"/>
      <w:r>
        <w:rPr>
          <w:rFonts w:ascii="宋体" w:eastAsia="宋体" w:hAnsi="宋体" w:cs="宋体" w:hint="eastAsia"/>
          <w:b/>
          <w:bCs/>
          <w:sz w:val="18"/>
          <w:szCs w:val="18"/>
        </w:rPr>
        <w:t>（1） 转移方式分类</w:t>
      </w:r>
      <w:bookmarkEnd w:id="136"/>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366"/>
        <w:gridCol w:w="1924"/>
        <w:gridCol w:w="1700"/>
        <w:gridCol w:w="1417"/>
        <w:gridCol w:w="3286"/>
      </w:tblGrid>
      <w:tr w:rsidR="00403CD6">
        <w:trPr>
          <w:trHeight w:val="284"/>
        </w:trPr>
        <w:tc>
          <w:tcPr>
            <w:tcW w:w="70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转移方式</w:t>
            </w:r>
          </w:p>
        </w:tc>
        <w:tc>
          <w:tcPr>
            <w:tcW w:w="9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已转移金融资产性质</w:t>
            </w:r>
          </w:p>
        </w:tc>
        <w:tc>
          <w:tcPr>
            <w:tcW w:w="87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已转移金融资产金额</w:t>
            </w:r>
          </w:p>
        </w:tc>
        <w:tc>
          <w:tcPr>
            <w:tcW w:w="7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终止确认情况</w:t>
            </w:r>
          </w:p>
        </w:tc>
        <w:tc>
          <w:tcPr>
            <w:tcW w:w="16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终止确认情况的判断依据</w:t>
            </w:r>
          </w:p>
        </w:tc>
      </w:tr>
      <w:tr w:rsidR="00403CD6">
        <w:trPr>
          <w:trHeight w:val="284"/>
        </w:trPr>
        <w:tc>
          <w:tcPr>
            <w:tcW w:w="70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票据背书或贴现</w:t>
            </w:r>
          </w:p>
        </w:tc>
        <w:tc>
          <w:tcPr>
            <w:tcW w:w="992"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应收票据</w:t>
            </w:r>
          </w:p>
        </w:tc>
        <w:tc>
          <w:tcPr>
            <w:tcW w:w="87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223,000.00</w:t>
            </w:r>
          </w:p>
        </w:tc>
        <w:tc>
          <w:tcPr>
            <w:tcW w:w="73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未终止确认</w:t>
            </w:r>
          </w:p>
        </w:tc>
        <w:tc>
          <w:tcPr>
            <w:tcW w:w="169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napToGrid w:val="0"/>
                <w:sz w:val="18"/>
                <w:szCs w:val="18"/>
                <w:lang w:val="en-GB"/>
              </w:rPr>
              <w:t>保留了其几乎所有的风险和报酬，包括与其相关的违约风险</w:t>
            </w:r>
          </w:p>
        </w:tc>
      </w:tr>
      <w:tr w:rsidR="00403CD6">
        <w:trPr>
          <w:trHeight w:val="284"/>
        </w:trPr>
        <w:tc>
          <w:tcPr>
            <w:tcW w:w="70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票据背书或贴现</w:t>
            </w:r>
          </w:p>
        </w:tc>
        <w:tc>
          <w:tcPr>
            <w:tcW w:w="992"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应收款项融资</w:t>
            </w:r>
          </w:p>
        </w:tc>
        <w:tc>
          <w:tcPr>
            <w:tcW w:w="87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5,008,422,470.60</w:t>
            </w:r>
          </w:p>
        </w:tc>
        <w:tc>
          <w:tcPr>
            <w:tcW w:w="73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终止确认</w:t>
            </w:r>
          </w:p>
        </w:tc>
        <w:tc>
          <w:tcPr>
            <w:tcW w:w="169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napToGrid w:val="0"/>
                <w:sz w:val="18"/>
                <w:szCs w:val="18"/>
                <w:lang w:val="en-GB"/>
              </w:rPr>
              <w:t>已经转移了其几乎所有的风险和报酬</w:t>
            </w:r>
          </w:p>
        </w:tc>
      </w:tr>
      <w:tr w:rsidR="00403CD6">
        <w:trPr>
          <w:trHeight w:val="284"/>
        </w:trPr>
        <w:tc>
          <w:tcPr>
            <w:tcW w:w="704"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992" w:type="pct"/>
            <w:shd w:val="clear" w:color="auto" w:fill="D3D3D3"/>
            <w:vAlign w:val="center"/>
          </w:tcPr>
          <w:p w:rsidR="00403CD6" w:rsidRDefault="00403CD6">
            <w:pPr>
              <w:rPr>
                <w:rFonts w:ascii="Times New Roman" w:hAnsi="Times New Roman" w:cs="Times New Roman"/>
                <w:sz w:val="18"/>
                <w:szCs w:val="18"/>
              </w:rPr>
            </w:pPr>
          </w:p>
        </w:tc>
        <w:tc>
          <w:tcPr>
            <w:tcW w:w="877"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5,008,645,470.6</w:t>
            </w:r>
            <w:r>
              <w:rPr>
                <w:rFonts w:ascii="Times New Roman" w:hAnsi="Times New Roman" w:cs="Times New Roman" w:hint="eastAsia"/>
                <w:sz w:val="18"/>
                <w:szCs w:val="18"/>
              </w:rPr>
              <w:t>0</w:t>
            </w:r>
          </w:p>
        </w:tc>
        <w:tc>
          <w:tcPr>
            <w:tcW w:w="731" w:type="pct"/>
            <w:shd w:val="clear" w:color="auto" w:fill="D3D3D3"/>
            <w:vAlign w:val="center"/>
          </w:tcPr>
          <w:p w:rsidR="00403CD6" w:rsidRDefault="00403CD6">
            <w:pPr>
              <w:rPr>
                <w:rFonts w:ascii="Times New Roman" w:hAnsi="Times New Roman" w:cs="Times New Roman"/>
                <w:sz w:val="18"/>
                <w:szCs w:val="18"/>
              </w:rPr>
            </w:pPr>
          </w:p>
        </w:tc>
        <w:tc>
          <w:tcPr>
            <w:tcW w:w="1695" w:type="pct"/>
            <w:shd w:val="clear" w:color="auto" w:fill="D3D3D3"/>
            <w:vAlign w:val="center"/>
          </w:tcPr>
          <w:p w:rsidR="00403CD6" w:rsidRDefault="00403CD6">
            <w:pPr>
              <w:rPr>
                <w:rFonts w:ascii="Times New Roman"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 w:val="18"/>
          <w:szCs w:val="18"/>
        </w:rPr>
      </w:pPr>
      <w:bookmarkStart w:id="137" w:name="_Toc989468"/>
      <w:r>
        <w:rPr>
          <w:rFonts w:ascii="宋体" w:eastAsia="宋体" w:hAnsi="宋体" w:cs="宋体" w:hint="eastAsia"/>
          <w:b/>
          <w:bCs/>
          <w:sz w:val="18"/>
          <w:szCs w:val="18"/>
        </w:rPr>
        <w:t>（2） 因转移而终止确认的金融资产</w:t>
      </w:r>
      <w:bookmarkEnd w:id="137"/>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2040"/>
        <w:gridCol w:w="2552"/>
        <w:gridCol w:w="2798"/>
      </w:tblGrid>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03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金融资产转移的方式</w:t>
            </w:r>
          </w:p>
        </w:tc>
        <w:tc>
          <w:tcPr>
            <w:tcW w:w="12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终止确认的金融资产金额</w:t>
            </w:r>
          </w:p>
        </w:tc>
        <w:tc>
          <w:tcPr>
            <w:tcW w:w="14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与终止确认相关的利得或损失</w:t>
            </w:r>
          </w:p>
        </w:tc>
      </w:tr>
      <w:tr w:rsidR="00403CD6">
        <w:trPr>
          <w:trHeight w:val="284"/>
        </w:trPr>
        <w:tc>
          <w:tcPr>
            <w:tcW w:w="12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应收款项融资</w:t>
            </w:r>
          </w:p>
        </w:tc>
        <w:tc>
          <w:tcPr>
            <w:tcW w:w="103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背书或贴现</w:t>
            </w:r>
          </w:p>
        </w:tc>
        <w:tc>
          <w:tcPr>
            <w:tcW w:w="129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5,008,422,470.60</w:t>
            </w:r>
          </w:p>
        </w:tc>
        <w:tc>
          <w:tcPr>
            <w:tcW w:w="14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976,279.14</w:t>
            </w:r>
          </w:p>
        </w:tc>
      </w:tr>
      <w:tr w:rsidR="00403CD6">
        <w:trPr>
          <w:trHeight w:val="284"/>
        </w:trPr>
        <w:tc>
          <w:tcPr>
            <w:tcW w:w="1250"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1035" w:type="pct"/>
            <w:shd w:val="clear" w:color="auto" w:fill="D3D3D3"/>
            <w:vAlign w:val="center"/>
          </w:tcPr>
          <w:p w:rsidR="00403CD6" w:rsidRDefault="00403CD6">
            <w:pPr>
              <w:rPr>
                <w:rFonts w:ascii="Times New Roman" w:hAnsi="Times New Roman" w:cs="Times New Roman"/>
                <w:sz w:val="18"/>
                <w:szCs w:val="18"/>
              </w:rPr>
            </w:pPr>
          </w:p>
        </w:tc>
        <w:tc>
          <w:tcPr>
            <w:tcW w:w="129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5,008,422,470.60</w:t>
            </w:r>
          </w:p>
        </w:tc>
        <w:tc>
          <w:tcPr>
            <w:tcW w:w="142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976,279.14</w:t>
            </w:r>
          </w:p>
        </w:tc>
      </w:tr>
    </w:tbl>
    <w:p w:rsidR="00403CD6" w:rsidRDefault="00E91A59">
      <w:pPr>
        <w:pStyle w:val="2"/>
        <w:spacing w:before="300" w:after="300" w:line="320" w:lineRule="exact"/>
        <w:rPr>
          <w:rFonts w:ascii="宋体" w:eastAsia="宋体" w:hAnsi="宋体" w:cs="宋体"/>
          <w:b/>
          <w:bCs/>
          <w:sz w:val="24"/>
          <w:szCs w:val="24"/>
        </w:rPr>
      </w:pPr>
      <w:bookmarkStart w:id="138" w:name="_Toc989470"/>
      <w:r>
        <w:rPr>
          <w:rFonts w:ascii="宋体" w:eastAsia="宋体" w:hAnsi="宋体" w:cs="宋体" w:hint="eastAsia"/>
          <w:b/>
          <w:bCs/>
          <w:sz w:val="24"/>
          <w:szCs w:val="24"/>
        </w:rPr>
        <w:t>十三、公允价值的披露</w:t>
      </w:r>
      <w:bookmarkEnd w:id="138"/>
    </w:p>
    <w:p w:rsidR="00403CD6" w:rsidRDefault="00E91A59">
      <w:pPr>
        <w:keepNext/>
        <w:keepLines/>
        <w:spacing w:before="300" w:after="300" w:line="280" w:lineRule="exact"/>
        <w:outlineLvl w:val="2"/>
        <w:rPr>
          <w:rFonts w:ascii="宋体" w:eastAsia="宋体" w:hAnsi="宋体" w:cs="宋体"/>
          <w:b/>
          <w:bCs/>
          <w:szCs w:val="21"/>
        </w:rPr>
      </w:pPr>
      <w:bookmarkStart w:id="139" w:name="_Toc989471"/>
      <w:r>
        <w:rPr>
          <w:rFonts w:ascii="宋体" w:eastAsia="宋体" w:hAnsi="宋体" w:cs="宋体" w:hint="eastAsia"/>
          <w:b/>
          <w:bCs/>
          <w:szCs w:val="21"/>
        </w:rPr>
        <w:t>1、以公允价值计量的资产和负债的期末公允价值</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按照在公允价值计量中对计量整体具有重大意义的最低层次的输入值，公允价值层次可分为：</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第一层次：相同资产或负债在活跃市场中的报价（未经调整的）。</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第二层次：直接（即价格）或间接（即从价格推导出）地使用除第一层次中的资产或负债的市场报价之外的可观察输入值。</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第三层次：资产或负债使用了任何非基于可观察市场数据的输入值（不可观察输入值）。</w:t>
      </w:r>
    </w:p>
    <w:p w:rsidR="00403CD6" w:rsidRDefault="00E91A59">
      <w:pPr>
        <w:pStyle w:val="3"/>
        <w:numPr>
          <w:ilvl w:val="0"/>
          <w:numId w:val="0"/>
        </w:numPr>
        <w:spacing w:before="156" w:after="280"/>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（1）以公允价值计量的项目和金额</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期末，以公允价值计量的资产及负债按上述三个层次列示如下：</w:t>
      </w:r>
      <w:r>
        <w:rPr>
          <w:rFonts w:ascii="Times New Roman" w:eastAsiaTheme="minorEastAsia" w:hAnsi="Times New Roman" w:cs="Times New Roman"/>
          <w:sz w:val="18"/>
          <w:szCs w:val="18"/>
        </w:rPr>
        <w:t xml:space="preserve"> </w:t>
      </w:r>
      <w:bookmarkEnd w:id="139"/>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3"/>
        <w:gridCol w:w="2126"/>
        <w:gridCol w:w="1133"/>
        <w:gridCol w:w="2126"/>
        <w:gridCol w:w="1665"/>
      </w:tblGrid>
      <w:tr w:rsidR="00403CD6">
        <w:trPr>
          <w:trHeight w:val="284"/>
        </w:trPr>
        <w:tc>
          <w:tcPr>
            <w:tcW w:w="1422"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3578"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期末公允价值</w:t>
            </w:r>
          </w:p>
        </w:tc>
      </w:tr>
      <w:tr w:rsidR="00403CD6">
        <w:trPr>
          <w:trHeight w:val="284"/>
        </w:trPr>
        <w:tc>
          <w:tcPr>
            <w:tcW w:w="1422" w:type="pct"/>
            <w:vMerge/>
            <w:vAlign w:val="center"/>
          </w:tcPr>
          <w:p w:rsidR="00403CD6" w:rsidRDefault="00403CD6">
            <w:pPr>
              <w:widowControl/>
              <w:rPr>
                <w:rFonts w:ascii="Times New Roman" w:eastAsia="宋体" w:hAnsi="Times New Roman" w:cs="Times New Roman"/>
                <w:sz w:val="18"/>
                <w:szCs w:val="18"/>
              </w:rPr>
            </w:pP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第一层次公允价值计量</w:t>
            </w:r>
          </w:p>
        </w:tc>
        <w:tc>
          <w:tcPr>
            <w:tcW w:w="5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第二层次公允价值计量</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第三层次公允价值计量</w:t>
            </w:r>
          </w:p>
        </w:tc>
        <w:tc>
          <w:tcPr>
            <w:tcW w:w="8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r>
      <w:tr w:rsidR="00403CD6">
        <w:trPr>
          <w:trHeight w:val="90"/>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一、持续的公允价值计量</w:t>
            </w: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84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（一）交易性金融资产</w:t>
            </w: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37,259,325.70</w:t>
            </w: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37,259,325.70</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 xml:space="preserve">1. </w:t>
            </w:r>
            <w:r>
              <w:rPr>
                <w:rFonts w:ascii="Times New Roman" w:hAnsi="Times New Roman" w:cs="Times New Roman"/>
                <w:sz w:val="18"/>
                <w:szCs w:val="18"/>
              </w:rPr>
              <w:t>权益工具投资</w:t>
            </w: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37,259,325.70</w:t>
            </w: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37,259,325.70</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（二）应收款项融资</w:t>
            </w: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100,730,797.32</w:t>
            </w: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100,730,797.32</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lastRenderedPageBreak/>
              <w:t>（三）其他非流动金融资产</w:t>
            </w: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751,030,454.68</w:t>
            </w: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751,030,454.68</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（四）生物资产</w:t>
            </w: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 xml:space="preserve">1. </w:t>
            </w:r>
            <w:r>
              <w:rPr>
                <w:rFonts w:ascii="Times New Roman" w:hAnsi="Times New Roman" w:cs="Times New Roman"/>
                <w:sz w:val="18"/>
                <w:szCs w:val="18"/>
              </w:rPr>
              <w:t>消耗性生物资产</w:t>
            </w:r>
          </w:p>
        </w:tc>
        <w:tc>
          <w:tcPr>
            <w:tcW w:w="1079" w:type="pct"/>
            <w:shd w:val="clear" w:color="auto" w:fill="auto"/>
            <w:vAlign w:val="center"/>
          </w:tcPr>
          <w:p w:rsidR="00403CD6" w:rsidRDefault="00403CD6">
            <w:pPr>
              <w:jc w:val="right"/>
              <w:rPr>
                <w:rFonts w:ascii="Times New Roman" w:hAnsi="Times New Roman" w:cs="Times New Roman"/>
                <w:sz w:val="18"/>
                <w:szCs w:val="18"/>
              </w:rPr>
            </w:pPr>
          </w:p>
        </w:tc>
        <w:tc>
          <w:tcPr>
            <w:tcW w:w="575" w:type="pct"/>
            <w:shd w:val="clear" w:color="auto" w:fill="auto"/>
            <w:vAlign w:val="center"/>
          </w:tcPr>
          <w:p w:rsidR="00403CD6" w:rsidRDefault="00403CD6">
            <w:pPr>
              <w:jc w:val="right"/>
              <w:rPr>
                <w:rFonts w:ascii="Times New Roman" w:hAnsi="Times New Roman" w:cs="Times New Roman"/>
                <w:sz w:val="18"/>
                <w:szCs w:val="18"/>
              </w:rPr>
            </w:pP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c>
          <w:tcPr>
            <w:tcW w:w="84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r>
      <w:tr w:rsidR="00403CD6">
        <w:trPr>
          <w:trHeight w:val="284"/>
        </w:trPr>
        <w:tc>
          <w:tcPr>
            <w:tcW w:w="1422" w:type="pct"/>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持续以公允价值计量的资产总额</w:t>
            </w:r>
          </w:p>
        </w:tc>
        <w:tc>
          <w:tcPr>
            <w:tcW w:w="1079"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37,259,325.70</w:t>
            </w:r>
          </w:p>
        </w:tc>
        <w:tc>
          <w:tcPr>
            <w:tcW w:w="575" w:type="pct"/>
            <w:shd w:val="clear" w:color="auto" w:fill="auto"/>
            <w:vAlign w:val="center"/>
          </w:tcPr>
          <w:p w:rsidR="00403CD6" w:rsidRDefault="00403CD6">
            <w:pPr>
              <w:jc w:val="right"/>
              <w:rPr>
                <w:rFonts w:ascii="Times New Roman" w:hAnsi="Times New Roman" w:cs="Times New Roman"/>
                <w:bCs/>
                <w:sz w:val="18"/>
                <w:szCs w:val="18"/>
              </w:rPr>
            </w:pPr>
          </w:p>
        </w:tc>
        <w:tc>
          <w:tcPr>
            <w:tcW w:w="107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bCs/>
                <w:sz w:val="18"/>
                <w:szCs w:val="18"/>
              </w:rPr>
              <w:t>2,108,141,025.85</w:t>
            </w:r>
          </w:p>
        </w:tc>
        <w:tc>
          <w:tcPr>
            <w:tcW w:w="845" w:type="pct"/>
            <w:shd w:val="clear" w:color="auto" w:fill="auto"/>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sz w:val="18"/>
                <w:szCs w:val="18"/>
              </w:rPr>
              <w:t xml:space="preserve">2,145,400,351.55 </w:t>
            </w:r>
          </w:p>
        </w:tc>
      </w:tr>
      <w:tr w:rsidR="00403CD6">
        <w:trPr>
          <w:trHeight w:val="284"/>
        </w:trPr>
        <w:tc>
          <w:tcPr>
            <w:tcW w:w="1422" w:type="pct"/>
            <w:shd w:val="clear" w:color="auto" w:fill="auto"/>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二、非持续的公允价值计量</w:t>
            </w:r>
          </w:p>
        </w:tc>
        <w:tc>
          <w:tcPr>
            <w:tcW w:w="1079"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575"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1079"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c>
          <w:tcPr>
            <w:tcW w:w="845" w:type="pct"/>
            <w:shd w:val="clear" w:color="auto" w:fill="auto"/>
            <w:vAlign w:val="center"/>
          </w:tcPr>
          <w:p w:rsidR="00403CD6" w:rsidRDefault="00403CD6">
            <w:pPr>
              <w:spacing w:line="240" w:lineRule="exact"/>
              <w:jc w:val="right"/>
              <w:rPr>
                <w:rFonts w:ascii="Times New Roman" w:hAnsi="Times New Roman" w:cs="Times New Roman"/>
                <w:sz w:val="18"/>
                <w:szCs w:val="18"/>
              </w:rPr>
            </w:pPr>
          </w:p>
        </w:tc>
      </w:tr>
    </w:tbl>
    <w:p w:rsidR="00403CD6" w:rsidRDefault="00E91A59">
      <w:pPr>
        <w:autoSpaceDE w:val="0"/>
        <w:autoSpaceDN w:val="0"/>
        <w:adjustRightInd w:val="0"/>
        <w:spacing w:beforeLines="50" w:before="156" w:afterLines="90" w:after="280"/>
        <w:ind w:firstLineChars="200" w:firstLine="360"/>
        <w:rPr>
          <w:rFonts w:asciiTheme="minorEastAsia" w:hAnsiTheme="minorEastAsia" w:cstheme="minorEastAsia"/>
          <w:sz w:val="18"/>
          <w:szCs w:val="18"/>
        </w:rPr>
      </w:pPr>
      <w:bookmarkStart w:id="140" w:name="_Toc989472"/>
      <w:r>
        <w:rPr>
          <w:rFonts w:asciiTheme="minorEastAsia" w:hAnsiTheme="minorEastAsia" w:cstheme="minorEastAsia" w:hint="eastAsia"/>
          <w:sz w:val="18"/>
          <w:szCs w:val="18"/>
        </w:rPr>
        <w:t>对于存在活跃市场上交易性金融资产，本公司以其活跃市场报价确定其公允价值。对于不在活跃市场上交易的其他非流动金融资产，其中对山东红桥创业投资有限公司的投资通过评估来确定期末公允价值；其中对</w:t>
      </w:r>
      <w:proofErr w:type="gramStart"/>
      <w:r>
        <w:rPr>
          <w:rFonts w:asciiTheme="minorEastAsia" w:hAnsiTheme="minorEastAsia" w:cstheme="minorEastAsia" w:hint="eastAsia"/>
          <w:sz w:val="18"/>
          <w:szCs w:val="18"/>
        </w:rPr>
        <w:t>潍坊晨创股权</w:t>
      </w:r>
      <w:proofErr w:type="gramEnd"/>
      <w:r>
        <w:rPr>
          <w:rFonts w:asciiTheme="minorEastAsia" w:hAnsiTheme="minorEastAsia" w:cstheme="minorEastAsia" w:hint="eastAsia"/>
          <w:sz w:val="18"/>
          <w:szCs w:val="18"/>
        </w:rPr>
        <w:t>投资基金合伙企业（有限合伙）和交汇晨鸣助力（苏州）新兴产业发展基金合伙企业（有限合伙）的投资，本公司通过计算同行业上市公司的平均市盈率、</w:t>
      </w:r>
      <w:proofErr w:type="gramStart"/>
      <w:r>
        <w:rPr>
          <w:rFonts w:asciiTheme="minorEastAsia" w:hAnsiTheme="minorEastAsia" w:cstheme="minorEastAsia" w:hint="eastAsia"/>
          <w:sz w:val="18"/>
          <w:szCs w:val="18"/>
        </w:rPr>
        <w:t>市净率</w:t>
      </w:r>
      <w:proofErr w:type="gramEnd"/>
      <w:r>
        <w:rPr>
          <w:rFonts w:asciiTheme="minorEastAsia" w:hAnsiTheme="minorEastAsia" w:cstheme="minorEastAsia" w:hint="eastAsia"/>
          <w:sz w:val="18"/>
          <w:szCs w:val="18"/>
        </w:rPr>
        <w:t>和市销率来确定期末公允价值；其中对上海衡峥创业投资中心（有限合伙）和利得科技股份有限公司的投资，以历史成本作为其公允价值。</w:t>
      </w:r>
    </w:p>
    <w:p w:rsidR="00403CD6" w:rsidRDefault="00E91A59">
      <w:pPr>
        <w:pStyle w:val="3"/>
        <w:numPr>
          <w:ilvl w:val="0"/>
          <w:numId w:val="0"/>
        </w:numPr>
        <w:spacing w:before="156" w:after="280"/>
        <w:rPr>
          <w:rFonts w:asciiTheme="minorEastAsia" w:eastAsiaTheme="minorEastAsia" w:hAnsiTheme="minorEastAsia" w:cstheme="minorEastAsia"/>
          <w:color w:val="0000FF"/>
          <w:sz w:val="21"/>
          <w:szCs w:val="21"/>
        </w:rPr>
      </w:pPr>
      <w:r>
        <w:rPr>
          <w:rFonts w:asciiTheme="minorEastAsia" w:eastAsiaTheme="minorEastAsia" w:hAnsiTheme="minorEastAsia" w:cstheme="minorEastAsia" w:hint="eastAsia"/>
          <w:sz w:val="21"/>
          <w:szCs w:val="21"/>
        </w:rPr>
        <w:t>（2）第三层次公允价值计量中使用的重要的不可观察输入值的量化信息</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60"/>
        <w:gridCol w:w="1559"/>
        <w:gridCol w:w="1419"/>
        <w:gridCol w:w="1559"/>
        <w:gridCol w:w="956"/>
      </w:tblGrid>
      <w:tr w:rsidR="00403CD6">
        <w:trPr>
          <w:trHeight w:val="284"/>
        </w:trPr>
        <w:tc>
          <w:tcPr>
            <w:tcW w:w="2213"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内容</w:t>
            </w:r>
          </w:p>
        </w:tc>
        <w:tc>
          <w:tcPr>
            <w:tcW w:w="791"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期末公允价值</w:t>
            </w:r>
          </w:p>
        </w:tc>
        <w:tc>
          <w:tcPr>
            <w:tcW w:w="720"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估值技术</w:t>
            </w:r>
          </w:p>
        </w:tc>
        <w:tc>
          <w:tcPr>
            <w:tcW w:w="791"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不可观察输入值</w:t>
            </w:r>
          </w:p>
        </w:tc>
        <w:tc>
          <w:tcPr>
            <w:tcW w:w="485"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范围</w:t>
            </w: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权益工具投资：</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720" w:type="pct"/>
            <w:shd w:val="clear" w:color="auto" w:fill="auto"/>
            <w:vAlign w:val="center"/>
          </w:tcPr>
          <w:p w:rsidR="00403CD6" w:rsidRDefault="00403CD6">
            <w:pPr>
              <w:rPr>
                <w:rFonts w:ascii="Times New Roman" w:hAnsi="Times New Roman" w:cs="Times New Roman"/>
                <w:sz w:val="18"/>
                <w:szCs w:val="18"/>
              </w:rPr>
            </w:pPr>
          </w:p>
        </w:tc>
        <w:tc>
          <w:tcPr>
            <w:tcW w:w="791" w:type="pct"/>
            <w:shd w:val="clear" w:color="auto" w:fill="auto"/>
            <w:vAlign w:val="center"/>
          </w:tcPr>
          <w:p w:rsidR="00403CD6" w:rsidRDefault="00403CD6">
            <w:pPr>
              <w:rPr>
                <w:rFonts w:ascii="Times New Roman" w:hAnsi="Times New Roman" w:cs="Times New Roman"/>
                <w:sz w:val="18"/>
                <w:szCs w:val="18"/>
              </w:rPr>
            </w:pPr>
          </w:p>
        </w:tc>
        <w:tc>
          <w:tcPr>
            <w:tcW w:w="48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山东红桥创业投资有限公司</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58,220,000.00</w:t>
            </w:r>
          </w:p>
        </w:tc>
        <w:tc>
          <w:tcPr>
            <w:tcW w:w="72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成本法</w:t>
            </w:r>
          </w:p>
        </w:tc>
        <w:tc>
          <w:tcPr>
            <w:tcW w:w="791" w:type="pct"/>
            <w:shd w:val="clear" w:color="auto" w:fill="auto"/>
            <w:vAlign w:val="center"/>
          </w:tcPr>
          <w:p w:rsidR="00403CD6" w:rsidRDefault="00403CD6">
            <w:pPr>
              <w:rPr>
                <w:rFonts w:ascii="Times New Roman" w:hAnsi="Times New Roman" w:cs="Times New Roman"/>
                <w:sz w:val="18"/>
                <w:szCs w:val="18"/>
              </w:rPr>
            </w:pPr>
          </w:p>
        </w:tc>
        <w:tc>
          <w:tcPr>
            <w:tcW w:w="48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proofErr w:type="gramStart"/>
            <w:r>
              <w:rPr>
                <w:rFonts w:ascii="Times New Roman" w:hAnsi="Times New Roman" w:cs="Times New Roman"/>
                <w:sz w:val="18"/>
                <w:szCs w:val="18"/>
              </w:rPr>
              <w:t>潍坊晨创股权</w:t>
            </w:r>
            <w:proofErr w:type="gramEnd"/>
            <w:r>
              <w:rPr>
                <w:rFonts w:ascii="Times New Roman" w:hAnsi="Times New Roman" w:cs="Times New Roman"/>
                <w:sz w:val="18"/>
                <w:szCs w:val="18"/>
              </w:rPr>
              <w:t>投资基金合伙企业（有限合伙）</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406,763,465.62</w:t>
            </w:r>
          </w:p>
        </w:tc>
        <w:tc>
          <w:tcPr>
            <w:tcW w:w="72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详见说明</w:t>
            </w:r>
          </w:p>
        </w:tc>
        <w:tc>
          <w:tcPr>
            <w:tcW w:w="791" w:type="pct"/>
            <w:shd w:val="clear" w:color="auto" w:fill="auto"/>
            <w:vAlign w:val="center"/>
          </w:tcPr>
          <w:p w:rsidR="00403CD6" w:rsidRDefault="00403CD6">
            <w:pPr>
              <w:rPr>
                <w:rFonts w:ascii="Times New Roman" w:hAnsi="Times New Roman" w:cs="Times New Roman"/>
                <w:sz w:val="18"/>
                <w:szCs w:val="18"/>
              </w:rPr>
            </w:pPr>
          </w:p>
        </w:tc>
        <w:tc>
          <w:tcPr>
            <w:tcW w:w="48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交汇晨鸣助力（苏州）新兴产业发展基金合伙企业（有限合伙）</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243,238,260.24</w:t>
            </w:r>
          </w:p>
        </w:tc>
        <w:tc>
          <w:tcPr>
            <w:tcW w:w="72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详见说明</w:t>
            </w:r>
          </w:p>
        </w:tc>
        <w:tc>
          <w:tcPr>
            <w:tcW w:w="791" w:type="pct"/>
            <w:shd w:val="clear" w:color="auto" w:fill="auto"/>
            <w:vAlign w:val="center"/>
          </w:tcPr>
          <w:p w:rsidR="00403CD6" w:rsidRDefault="00403CD6">
            <w:pPr>
              <w:rPr>
                <w:rFonts w:ascii="Times New Roman" w:hAnsi="Times New Roman" w:cs="Times New Roman"/>
                <w:sz w:val="18"/>
                <w:szCs w:val="18"/>
              </w:rPr>
            </w:pPr>
          </w:p>
        </w:tc>
        <w:tc>
          <w:tcPr>
            <w:tcW w:w="48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消耗性生物资产：</w:t>
            </w:r>
          </w:p>
        </w:tc>
        <w:tc>
          <w:tcPr>
            <w:tcW w:w="791" w:type="pct"/>
            <w:shd w:val="clear" w:color="auto" w:fill="auto"/>
            <w:vAlign w:val="center"/>
          </w:tcPr>
          <w:p w:rsidR="00403CD6" w:rsidRDefault="00403CD6">
            <w:pPr>
              <w:jc w:val="right"/>
              <w:rPr>
                <w:rFonts w:ascii="Times New Roman" w:hAnsi="Times New Roman" w:cs="Times New Roman"/>
                <w:sz w:val="18"/>
                <w:szCs w:val="18"/>
              </w:rPr>
            </w:pPr>
          </w:p>
        </w:tc>
        <w:tc>
          <w:tcPr>
            <w:tcW w:w="720" w:type="pct"/>
            <w:shd w:val="clear" w:color="auto" w:fill="auto"/>
            <w:vAlign w:val="center"/>
          </w:tcPr>
          <w:p w:rsidR="00403CD6" w:rsidRDefault="00403CD6">
            <w:pPr>
              <w:rPr>
                <w:rFonts w:ascii="Times New Roman" w:hAnsi="Times New Roman" w:cs="Times New Roman"/>
                <w:sz w:val="18"/>
                <w:szCs w:val="18"/>
              </w:rPr>
            </w:pPr>
          </w:p>
        </w:tc>
        <w:tc>
          <w:tcPr>
            <w:tcW w:w="791" w:type="pct"/>
            <w:shd w:val="clear" w:color="auto" w:fill="auto"/>
            <w:vAlign w:val="center"/>
          </w:tcPr>
          <w:p w:rsidR="00403CD6" w:rsidRDefault="00403CD6">
            <w:pPr>
              <w:rPr>
                <w:rFonts w:ascii="Times New Roman" w:hAnsi="Times New Roman" w:cs="Times New Roman"/>
                <w:sz w:val="18"/>
                <w:szCs w:val="18"/>
              </w:rPr>
            </w:pPr>
          </w:p>
        </w:tc>
        <w:tc>
          <w:tcPr>
            <w:tcW w:w="48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2213"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林木</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1,256,379,773.85</w:t>
            </w:r>
          </w:p>
        </w:tc>
        <w:tc>
          <w:tcPr>
            <w:tcW w:w="72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市场价倒推法</w:t>
            </w:r>
          </w:p>
        </w:tc>
        <w:tc>
          <w:tcPr>
            <w:tcW w:w="791" w:type="pct"/>
            <w:shd w:val="clear" w:color="auto" w:fill="auto"/>
            <w:vAlign w:val="center"/>
          </w:tcPr>
          <w:p w:rsidR="00403CD6" w:rsidRDefault="00E91A59">
            <w:pPr>
              <w:jc w:val="right"/>
              <w:rPr>
                <w:rFonts w:ascii="Times New Roman" w:hAnsi="Times New Roman" w:cs="Times New Roman"/>
                <w:sz w:val="18"/>
                <w:szCs w:val="18"/>
              </w:rPr>
            </w:pPr>
            <w:proofErr w:type="gramStart"/>
            <w:r>
              <w:rPr>
                <w:rFonts w:ascii="Times New Roman" w:hAnsi="Times New Roman" w:cs="Times New Roman"/>
                <w:sz w:val="18"/>
                <w:szCs w:val="18"/>
              </w:rPr>
              <w:t>桉</w:t>
            </w:r>
            <w:proofErr w:type="gramEnd"/>
            <w:r>
              <w:rPr>
                <w:rFonts w:ascii="Times New Roman" w:hAnsi="Times New Roman" w:cs="Times New Roman"/>
                <w:sz w:val="18"/>
                <w:szCs w:val="18"/>
              </w:rPr>
              <w:t>木每吨单价</w:t>
            </w:r>
          </w:p>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湿地松每吨单价</w:t>
            </w:r>
          </w:p>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杉木每吨单价</w:t>
            </w:r>
          </w:p>
        </w:tc>
        <w:tc>
          <w:tcPr>
            <w:tcW w:w="48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515</w:t>
            </w:r>
            <w:r>
              <w:rPr>
                <w:rFonts w:ascii="Times New Roman" w:hAnsi="Times New Roman" w:cs="Times New Roman"/>
                <w:sz w:val="18"/>
                <w:szCs w:val="18"/>
              </w:rPr>
              <w:t>元</w:t>
            </w:r>
          </w:p>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525</w:t>
            </w:r>
            <w:r>
              <w:rPr>
                <w:rFonts w:ascii="Times New Roman" w:hAnsi="Times New Roman" w:cs="Times New Roman"/>
                <w:sz w:val="18"/>
                <w:szCs w:val="18"/>
              </w:rPr>
              <w:t>元</w:t>
            </w:r>
          </w:p>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560</w:t>
            </w:r>
            <w:r>
              <w:rPr>
                <w:rFonts w:ascii="Times New Roman" w:hAnsi="Times New Roman" w:cs="Times New Roman"/>
                <w:sz w:val="18"/>
                <w:szCs w:val="18"/>
              </w:rPr>
              <w:t>元</w:t>
            </w:r>
          </w:p>
        </w:tc>
      </w:tr>
    </w:tbl>
    <w:p w:rsidR="00403CD6" w:rsidRDefault="00E91A59">
      <w:pPr>
        <w:pStyle w:val="a0"/>
        <w:ind w:firstLine="0"/>
        <w:rPr>
          <w:rFonts w:ascii="Arial Narrow" w:eastAsia="仿宋_GB2312" w:hAnsi="Arial Narrow" w:cs="仿宋_GB2312"/>
          <w:sz w:val="24"/>
        </w:rPr>
      </w:pPr>
      <w:r>
        <w:rPr>
          <w:rFonts w:asciiTheme="minorEastAsia" w:eastAsiaTheme="minorEastAsia" w:hAnsiTheme="minorEastAsia" w:cstheme="minorEastAsia" w:hint="eastAsia"/>
          <w:sz w:val="18"/>
          <w:szCs w:val="18"/>
        </w:rPr>
        <w:t>说明：本公司对</w:t>
      </w:r>
      <w:proofErr w:type="gramStart"/>
      <w:r>
        <w:rPr>
          <w:rFonts w:asciiTheme="minorEastAsia" w:eastAsiaTheme="minorEastAsia" w:hAnsiTheme="minorEastAsia" w:cstheme="minorEastAsia" w:hint="eastAsia"/>
          <w:sz w:val="18"/>
          <w:szCs w:val="18"/>
        </w:rPr>
        <w:t>潍坊晨创股权</w:t>
      </w:r>
      <w:proofErr w:type="gramEnd"/>
      <w:r>
        <w:rPr>
          <w:rFonts w:asciiTheme="minorEastAsia" w:eastAsiaTheme="minorEastAsia" w:hAnsiTheme="minorEastAsia" w:cstheme="minorEastAsia" w:hint="eastAsia"/>
          <w:sz w:val="18"/>
          <w:szCs w:val="18"/>
        </w:rPr>
        <w:t>投资基金合伙企业（有限合伙）和交汇晨鸣助力（苏州）新兴产业发展基金合伙企业（有限合伙）</w:t>
      </w:r>
      <w:proofErr w:type="gramStart"/>
      <w:r>
        <w:rPr>
          <w:rFonts w:asciiTheme="minorEastAsia" w:eastAsiaTheme="minorEastAsia" w:hAnsiTheme="minorEastAsia" w:cstheme="minorEastAsia" w:hint="eastAsia"/>
          <w:sz w:val="18"/>
          <w:szCs w:val="18"/>
        </w:rPr>
        <w:t>无活跃</w:t>
      </w:r>
      <w:proofErr w:type="gramEnd"/>
      <w:r>
        <w:rPr>
          <w:rFonts w:asciiTheme="minorEastAsia" w:eastAsiaTheme="minorEastAsia" w:hAnsiTheme="minorEastAsia" w:cstheme="minorEastAsia" w:hint="eastAsia"/>
          <w:sz w:val="18"/>
          <w:szCs w:val="18"/>
        </w:rPr>
        <w:t>交易市场，本公司通过计算同行业上市公司的平均市盈率、</w:t>
      </w:r>
      <w:proofErr w:type="gramStart"/>
      <w:r>
        <w:rPr>
          <w:rFonts w:asciiTheme="minorEastAsia" w:eastAsiaTheme="minorEastAsia" w:hAnsiTheme="minorEastAsia" w:cstheme="minorEastAsia" w:hint="eastAsia"/>
          <w:sz w:val="18"/>
          <w:szCs w:val="18"/>
        </w:rPr>
        <w:t>市净率</w:t>
      </w:r>
      <w:proofErr w:type="gramEnd"/>
      <w:r>
        <w:rPr>
          <w:rFonts w:asciiTheme="minorEastAsia" w:eastAsiaTheme="minorEastAsia" w:hAnsiTheme="minorEastAsia" w:cstheme="minorEastAsia" w:hint="eastAsia"/>
          <w:sz w:val="18"/>
          <w:szCs w:val="18"/>
        </w:rPr>
        <w:t>和市销率来确定期末公允价值。</w:t>
      </w:r>
    </w:p>
    <w:p w:rsidR="00403CD6" w:rsidRDefault="00E91A59">
      <w:pPr>
        <w:pStyle w:val="3"/>
        <w:numPr>
          <w:ilvl w:val="0"/>
          <w:numId w:val="0"/>
        </w:numPr>
        <w:spacing w:before="156" w:after="280"/>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（3）归入公允价值层级第三层次的公允价值计量的调节表</w:t>
      </w:r>
    </w:p>
    <w:tbl>
      <w:tblPr>
        <w:tblW w:w="5000" w:type="pct"/>
        <w:tblBorders>
          <w:top w:val="single" w:sz="8" w:space="0" w:color="auto"/>
          <w:bottom w:val="single" w:sz="8" w:space="0" w:color="auto"/>
        </w:tblBorders>
        <w:tblLayout w:type="fixed"/>
        <w:tblCellMar>
          <w:left w:w="28" w:type="dxa"/>
          <w:right w:w="28" w:type="dxa"/>
        </w:tblCellMar>
        <w:tblLook w:val="04A0" w:firstRow="1" w:lastRow="0" w:firstColumn="1" w:lastColumn="0" w:noHBand="0" w:noVBand="1"/>
      </w:tblPr>
      <w:tblGrid>
        <w:gridCol w:w="2058"/>
        <w:gridCol w:w="1396"/>
        <w:gridCol w:w="684"/>
        <w:gridCol w:w="1276"/>
        <w:gridCol w:w="1278"/>
        <w:gridCol w:w="1559"/>
        <w:gridCol w:w="1442"/>
      </w:tblGrid>
      <w:tr w:rsidR="00403CD6">
        <w:trPr>
          <w:cantSplit/>
          <w:trHeight w:val="340"/>
        </w:trPr>
        <w:tc>
          <w:tcPr>
            <w:tcW w:w="1062"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项</w:t>
            </w:r>
            <w:r>
              <w:rPr>
                <w:rFonts w:ascii="Times New Roman" w:hAnsi="Times New Roman" w:cs="Times New Roman"/>
                <w:sz w:val="18"/>
                <w:szCs w:val="18"/>
              </w:rPr>
              <w:t xml:space="preserve">  </w:t>
            </w:r>
            <w:r>
              <w:rPr>
                <w:rFonts w:ascii="Times New Roman" w:hAnsi="Times New Roman" w:cs="Times New Roman"/>
                <w:sz w:val="18"/>
                <w:szCs w:val="18"/>
              </w:rPr>
              <w:t>目（本期金额）</w:t>
            </w:r>
          </w:p>
        </w:tc>
        <w:tc>
          <w:tcPr>
            <w:tcW w:w="720"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期初余额</w:t>
            </w:r>
          </w:p>
        </w:tc>
        <w:tc>
          <w:tcPr>
            <w:tcW w:w="353"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转入第三层次</w:t>
            </w:r>
          </w:p>
        </w:tc>
        <w:tc>
          <w:tcPr>
            <w:tcW w:w="658"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转出第三层次</w:t>
            </w:r>
          </w:p>
        </w:tc>
        <w:tc>
          <w:tcPr>
            <w:tcW w:w="1463"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当期利得或损失总额</w:t>
            </w:r>
          </w:p>
        </w:tc>
        <w:tc>
          <w:tcPr>
            <w:tcW w:w="744"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期末余额</w:t>
            </w:r>
          </w:p>
        </w:tc>
      </w:tr>
      <w:tr w:rsidR="00403CD6">
        <w:trPr>
          <w:cantSplit/>
          <w:trHeight w:val="340"/>
        </w:trPr>
        <w:tc>
          <w:tcPr>
            <w:tcW w:w="1062" w:type="pct"/>
            <w:vMerge/>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adjustRightInd w:val="0"/>
              <w:snapToGrid w:val="0"/>
              <w:rPr>
                <w:rFonts w:ascii="Times New Roman" w:hAnsi="Times New Roman" w:cs="Times New Roman"/>
                <w:sz w:val="18"/>
                <w:szCs w:val="18"/>
              </w:rPr>
            </w:pPr>
          </w:p>
        </w:tc>
        <w:tc>
          <w:tcPr>
            <w:tcW w:w="720" w:type="pct"/>
            <w:vMerge/>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adjustRightInd w:val="0"/>
              <w:snapToGrid w:val="0"/>
              <w:jc w:val="right"/>
              <w:rPr>
                <w:rFonts w:ascii="Times New Roman" w:hAnsi="Times New Roman" w:cs="Times New Roman"/>
                <w:sz w:val="18"/>
                <w:szCs w:val="18"/>
              </w:rPr>
            </w:pPr>
          </w:p>
        </w:tc>
        <w:tc>
          <w:tcPr>
            <w:tcW w:w="353" w:type="pct"/>
            <w:vMerge/>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adjustRightInd w:val="0"/>
              <w:snapToGrid w:val="0"/>
              <w:jc w:val="right"/>
              <w:rPr>
                <w:rFonts w:ascii="Times New Roman" w:hAnsi="Times New Roman" w:cs="Times New Roman"/>
                <w:sz w:val="18"/>
                <w:szCs w:val="18"/>
              </w:rPr>
            </w:pPr>
          </w:p>
        </w:tc>
        <w:tc>
          <w:tcPr>
            <w:tcW w:w="658" w:type="pct"/>
            <w:vMerge/>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adjustRightInd w:val="0"/>
              <w:snapToGrid w:val="0"/>
              <w:jc w:val="right"/>
              <w:rPr>
                <w:rFonts w:ascii="Times New Roman" w:hAnsi="Times New Roman" w:cs="Times New Roman"/>
                <w:sz w:val="18"/>
                <w:szCs w:val="18"/>
              </w:rPr>
            </w:pPr>
          </w:p>
        </w:tc>
        <w:tc>
          <w:tcPr>
            <w:tcW w:w="65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计入损益</w:t>
            </w:r>
          </w:p>
        </w:tc>
        <w:tc>
          <w:tcPr>
            <w:tcW w:w="80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计入其他综合收益</w:t>
            </w:r>
          </w:p>
        </w:tc>
        <w:tc>
          <w:tcPr>
            <w:tcW w:w="744" w:type="pct"/>
            <w:vMerge/>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adjustRightInd w:val="0"/>
              <w:snapToGrid w:val="0"/>
              <w:jc w:val="right"/>
              <w:rPr>
                <w:rFonts w:ascii="Times New Roman" w:hAnsi="Times New Roman" w:cs="Times New Roman"/>
                <w:sz w:val="18"/>
                <w:szCs w:val="18"/>
              </w:rPr>
            </w:pPr>
          </w:p>
        </w:tc>
      </w:tr>
      <w:tr w:rsidR="00403CD6">
        <w:trPr>
          <w:cantSplit/>
          <w:trHeight w:val="340"/>
        </w:trPr>
        <w:tc>
          <w:tcPr>
            <w:tcW w:w="1062"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应收款项融资</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215,884,249.97</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65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115,153,452.65</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80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100,730,797.32</w:t>
            </w:r>
          </w:p>
        </w:tc>
      </w:tr>
      <w:tr w:rsidR="00403CD6">
        <w:trPr>
          <w:cantSplit/>
          <w:trHeight w:val="340"/>
        </w:trPr>
        <w:tc>
          <w:tcPr>
            <w:tcW w:w="1062"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其他非流动金融资产</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781,561,040.57</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65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1,483,295.37</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-29,047,290.52</w:t>
            </w:r>
          </w:p>
        </w:tc>
        <w:tc>
          <w:tcPr>
            <w:tcW w:w="80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751,030,454.68</w:t>
            </w:r>
          </w:p>
        </w:tc>
      </w:tr>
      <w:tr w:rsidR="00403CD6">
        <w:trPr>
          <w:cantSplit/>
          <w:trHeight w:val="340"/>
        </w:trPr>
        <w:tc>
          <w:tcPr>
            <w:tcW w:w="1062"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生物资产：</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1,483,978,089.61</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65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74,186,556.59</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-153,411,759.17</w:t>
            </w:r>
          </w:p>
        </w:tc>
        <w:tc>
          <w:tcPr>
            <w:tcW w:w="80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r>
      <w:tr w:rsidR="00403CD6">
        <w:trPr>
          <w:cantSplit/>
          <w:trHeight w:val="340"/>
        </w:trPr>
        <w:tc>
          <w:tcPr>
            <w:tcW w:w="1062"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消耗性生物资产</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1,483,978,089.61</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65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74,186,556.59</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-153,411,759.17</w:t>
            </w:r>
          </w:p>
        </w:tc>
        <w:tc>
          <w:tcPr>
            <w:tcW w:w="80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1,256,379,773.85</w:t>
            </w:r>
          </w:p>
        </w:tc>
      </w:tr>
      <w:tr w:rsidR="00403CD6">
        <w:trPr>
          <w:cantSplit/>
          <w:trHeight w:val="340"/>
        </w:trPr>
        <w:tc>
          <w:tcPr>
            <w:tcW w:w="10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合计</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color w:val="000000"/>
                <w:sz w:val="18"/>
                <w:szCs w:val="18"/>
              </w:rPr>
              <w:t>2,481,423,380.15</w:t>
            </w:r>
          </w:p>
        </w:tc>
        <w:tc>
          <w:tcPr>
            <w:tcW w:w="35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65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190,823,304.61</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-182,459,049.69</w:t>
            </w:r>
          </w:p>
        </w:tc>
        <w:tc>
          <w:tcPr>
            <w:tcW w:w="80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403CD6">
            <w:pPr>
              <w:jc w:val="right"/>
              <w:rPr>
                <w:rFonts w:ascii="Times New Roman" w:hAnsi="Times New Roman" w:cs="Times New Roman"/>
                <w:sz w:val="18"/>
                <w:szCs w:val="18"/>
              </w:rPr>
            </w:pP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eastAsia="仿宋_GB2312" w:hAnsi="Times New Roman" w:cs="Times New Roman"/>
                <w:sz w:val="18"/>
                <w:szCs w:val="18"/>
              </w:rPr>
              <w:t>2,108,141,025.85</w:t>
            </w:r>
          </w:p>
        </w:tc>
      </w:tr>
    </w:tbl>
    <w:p w:rsidR="00403CD6" w:rsidRDefault="00E91A59">
      <w:pPr>
        <w:pStyle w:val="2"/>
        <w:spacing w:before="300" w:after="300" w:line="320" w:lineRule="exact"/>
        <w:rPr>
          <w:rFonts w:ascii="宋体" w:eastAsia="宋体" w:hAnsi="宋体" w:cs="宋体"/>
          <w:b/>
          <w:bCs/>
          <w:sz w:val="24"/>
          <w:szCs w:val="24"/>
        </w:rPr>
      </w:pPr>
      <w:bookmarkStart w:id="141" w:name="_Toc989480"/>
      <w:bookmarkEnd w:id="140"/>
      <w:r>
        <w:rPr>
          <w:rFonts w:ascii="宋体" w:eastAsia="宋体" w:hAnsi="宋体" w:cs="宋体" w:hint="eastAsia"/>
          <w:b/>
          <w:bCs/>
          <w:sz w:val="24"/>
          <w:szCs w:val="24"/>
        </w:rPr>
        <w:t>十四、关联方及关联交易</w:t>
      </w:r>
      <w:bookmarkEnd w:id="141"/>
    </w:p>
    <w:p w:rsidR="00403CD6" w:rsidRDefault="00E91A59">
      <w:pPr>
        <w:keepNext/>
        <w:keepLines/>
        <w:spacing w:before="300" w:after="300" w:line="280" w:lineRule="exact"/>
        <w:outlineLvl w:val="2"/>
        <w:rPr>
          <w:rFonts w:ascii="宋体" w:eastAsia="宋体" w:hAnsi="宋体" w:cs="宋体"/>
          <w:b/>
          <w:bCs/>
          <w:szCs w:val="21"/>
        </w:rPr>
      </w:pPr>
      <w:bookmarkStart w:id="142" w:name="_Toc989481"/>
      <w:r>
        <w:rPr>
          <w:rFonts w:ascii="宋体" w:eastAsia="宋体" w:hAnsi="宋体" w:cs="宋体" w:hint="eastAsia"/>
          <w:b/>
          <w:bCs/>
          <w:szCs w:val="21"/>
        </w:rPr>
        <w:t>1、本企业的母公司情况</w:t>
      </w:r>
      <w:bookmarkEnd w:id="142"/>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190"/>
        <w:gridCol w:w="1642"/>
        <w:gridCol w:w="1643"/>
        <w:gridCol w:w="1643"/>
        <w:gridCol w:w="1642"/>
      </w:tblGrid>
      <w:tr w:rsidR="00403CD6">
        <w:trPr>
          <w:trHeight w:val="284"/>
        </w:trPr>
        <w:tc>
          <w:tcPr>
            <w:tcW w:w="106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母公司名称</w:t>
            </w:r>
          </w:p>
        </w:tc>
        <w:tc>
          <w:tcPr>
            <w:tcW w:w="60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注册地</w:t>
            </w:r>
          </w:p>
        </w:tc>
        <w:tc>
          <w:tcPr>
            <w:tcW w:w="83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业务性质</w:t>
            </w:r>
          </w:p>
        </w:tc>
        <w:tc>
          <w:tcPr>
            <w:tcW w:w="83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注册资本</w:t>
            </w:r>
          </w:p>
        </w:tc>
        <w:tc>
          <w:tcPr>
            <w:tcW w:w="83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母公司对本企业的持股比例</w:t>
            </w:r>
          </w:p>
        </w:tc>
        <w:tc>
          <w:tcPr>
            <w:tcW w:w="83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母公司对本企业的表决权比例</w:t>
            </w:r>
          </w:p>
        </w:tc>
      </w:tr>
      <w:tr w:rsidR="00403CD6">
        <w:trPr>
          <w:trHeight w:val="284"/>
        </w:trPr>
        <w:tc>
          <w:tcPr>
            <w:tcW w:w="106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晨鸣控股有限公司</w:t>
            </w:r>
          </w:p>
        </w:tc>
        <w:tc>
          <w:tcPr>
            <w:tcW w:w="604"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寿光</w:t>
            </w:r>
          </w:p>
        </w:tc>
        <w:tc>
          <w:tcPr>
            <w:tcW w:w="83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对造纸、电力、热力、林业项目</w:t>
            </w:r>
          </w:p>
        </w:tc>
        <w:tc>
          <w:tcPr>
            <w:tcW w:w="83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123</w:t>
            </w:r>
            <w:r>
              <w:rPr>
                <w:rFonts w:ascii="Times New Roman" w:hAnsi="Times New Roman" w:cs="Times New Roman" w:hint="eastAsia"/>
                <w:color w:val="000000"/>
                <w:sz w:val="18"/>
                <w:szCs w:val="18"/>
              </w:rPr>
              <w:t>,</w:t>
            </w:r>
            <w:r>
              <w:rPr>
                <w:rFonts w:ascii="Times New Roman" w:hAnsi="Times New Roman" w:cs="Times New Roman"/>
                <w:color w:val="000000"/>
                <w:sz w:val="18"/>
                <w:szCs w:val="18"/>
              </w:rPr>
              <w:t>878.77</w:t>
            </w:r>
            <w:r>
              <w:rPr>
                <w:rFonts w:cs="Times New Roman" w:hint="eastAsia"/>
                <w:color w:val="000000"/>
                <w:sz w:val="18"/>
                <w:szCs w:val="18"/>
              </w:rPr>
              <w:t>万元</w:t>
            </w:r>
          </w:p>
        </w:tc>
        <w:tc>
          <w:tcPr>
            <w:tcW w:w="83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27.87</w:t>
            </w:r>
            <w:r>
              <w:rPr>
                <w:rFonts w:ascii="Times New Roman" w:hAnsi="Times New Roman" w:cs="Times New Roman"/>
                <w:color w:val="000000"/>
                <w:sz w:val="18"/>
                <w:szCs w:val="18"/>
              </w:rPr>
              <w:t>%</w:t>
            </w:r>
          </w:p>
        </w:tc>
        <w:tc>
          <w:tcPr>
            <w:tcW w:w="83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27.87</w:t>
            </w:r>
            <w:r>
              <w:rPr>
                <w:rFonts w:ascii="Times New Roman" w:hAnsi="Times New Roman" w:cs="Times New Roman"/>
                <w:color w:val="000000"/>
                <w:sz w:val="18"/>
                <w:szCs w:val="18"/>
              </w:rPr>
              <w:t>%</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本企业的母公司情况的说明：</w:t>
      </w:r>
    </w:p>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lastRenderedPageBreak/>
        <w:t>本公司最终控制方是：寿光市国有资产监督管理局</w:t>
      </w:r>
      <w:r>
        <w:rPr>
          <w:rFonts w:ascii="宋体" w:eastAsia="宋体" w:hAnsi="宋体" w:cs="宋体" w:hint="eastAsia"/>
          <w:sz w:val="18"/>
          <w:szCs w:val="18"/>
        </w:rPr>
        <w:t>。</w:t>
      </w:r>
    </w:p>
    <w:p w:rsidR="00403CD6" w:rsidRDefault="00E91A59">
      <w:pPr>
        <w:keepNext/>
        <w:keepLines/>
        <w:spacing w:before="300" w:after="300" w:line="280" w:lineRule="exact"/>
        <w:outlineLvl w:val="2"/>
        <w:rPr>
          <w:rFonts w:ascii="宋体" w:eastAsia="宋体" w:hAnsi="宋体" w:cs="宋体"/>
          <w:b/>
          <w:bCs/>
          <w:szCs w:val="21"/>
        </w:rPr>
      </w:pPr>
      <w:bookmarkStart w:id="143" w:name="_Toc989482"/>
      <w:r>
        <w:rPr>
          <w:rFonts w:ascii="宋体" w:eastAsia="宋体" w:hAnsi="宋体" w:cs="宋体" w:hint="eastAsia"/>
          <w:b/>
          <w:bCs/>
          <w:szCs w:val="21"/>
        </w:rPr>
        <w:t>2、本企业的子公司情况</w:t>
      </w:r>
      <w:bookmarkEnd w:id="143"/>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本企业子公司的情况详见附注十</w:t>
      </w:r>
      <w:r>
        <w:rPr>
          <w:rFonts w:ascii="宋体" w:eastAsia="宋体" w:hAnsi="宋体" w:cs="宋体"/>
          <w:sz w:val="18"/>
          <w:szCs w:val="18"/>
        </w:rPr>
        <w:t>、1</w:t>
      </w:r>
      <w:r>
        <w:rPr>
          <w:rFonts w:ascii="宋体" w:eastAsia="宋体" w:hAnsi="宋体" w:cs="宋体" w:hint="eastAsia"/>
          <w:sz w:val="18"/>
          <w:szCs w:val="18"/>
        </w:rPr>
        <w:t>。</w:t>
      </w:r>
    </w:p>
    <w:p w:rsidR="00403CD6" w:rsidRDefault="00E91A59">
      <w:pPr>
        <w:keepNext/>
        <w:keepLines/>
        <w:spacing w:before="300" w:after="300" w:line="280" w:lineRule="exact"/>
        <w:outlineLvl w:val="2"/>
        <w:rPr>
          <w:rFonts w:ascii="宋体" w:eastAsia="宋体" w:hAnsi="宋体" w:cs="宋体"/>
          <w:b/>
          <w:bCs/>
          <w:szCs w:val="21"/>
        </w:rPr>
      </w:pPr>
      <w:bookmarkStart w:id="144" w:name="_Toc989483"/>
      <w:r>
        <w:rPr>
          <w:rFonts w:ascii="宋体" w:eastAsia="宋体" w:hAnsi="宋体" w:cs="宋体" w:hint="eastAsia"/>
          <w:b/>
          <w:bCs/>
          <w:szCs w:val="21"/>
        </w:rPr>
        <w:t>3、本企业合营和联营企业情况</w:t>
      </w:r>
      <w:bookmarkEnd w:id="144"/>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本企业重要的合营或联营企业详见附注十</w:t>
      </w:r>
      <w:r>
        <w:rPr>
          <w:rFonts w:ascii="宋体" w:eastAsia="宋体" w:hAnsi="宋体" w:cs="宋体"/>
          <w:sz w:val="18"/>
          <w:szCs w:val="18"/>
        </w:rPr>
        <w:t>、3</w:t>
      </w:r>
      <w:r>
        <w:rPr>
          <w:rFonts w:ascii="宋体" w:eastAsia="宋体" w:hAnsi="宋体" w:cs="宋体" w:hint="eastAsia"/>
          <w:sz w:val="18"/>
          <w:szCs w:val="18"/>
        </w:rPr>
        <w:t>。</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本期与本公司发生关联方交易，或前期与本公司发生关联方交易形成余额的其他合营或联营企业情况如下：</w:t>
      </w:r>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403CD6">
        <w:trPr>
          <w:trHeight w:val="284"/>
        </w:trPr>
        <w:tc>
          <w:tcPr>
            <w:tcW w:w="250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合营或联营企业名称</w:t>
            </w:r>
          </w:p>
        </w:tc>
        <w:tc>
          <w:tcPr>
            <w:tcW w:w="250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与本企业关系</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潍坊港区木片码头有限公司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本公司之合营企业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寿光美特环保科技有限公司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本公司之合营企业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潍坊</w:t>
            </w:r>
            <w:proofErr w:type="gramStart"/>
            <w:r>
              <w:rPr>
                <w:rFonts w:hint="eastAsia"/>
                <w:color w:val="000000"/>
                <w:sz w:val="18"/>
                <w:szCs w:val="18"/>
              </w:rPr>
              <w:t>星兴联合</w:t>
            </w:r>
            <w:proofErr w:type="gramEnd"/>
            <w:r>
              <w:rPr>
                <w:rFonts w:hint="eastAsia"/>
                <w:color w:val="000000"/>
                <w:sz w:val="18"/>
                <w:szCs w:val="18"/>
              </w:rPr>
              <w:t>化工有限公司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本公司之合营企业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寿光晨</w:t>
            </w:r>
            <w:proofErr w:type="gramStart"/>
            <w:r>
              <w:rPr>
                <w:rFonts w:hint="eastAsia"/>
                <w:color w:val="000000"/>
                <w:sz w:val="18"/>
                <w:szCs w:val="18"/>
              </w:rPr>
              <w:t>鸣汇森</w:t>
            </w:r>
            <w:proofErr w:type="gramEnd"/>
            <w:r>
              <w:rPr>
                <w:rFonts w:hint="eastAsia"/>
                <w:color w:val="000000"/>
                <w:sz w:val="18"/>
                <w:szCs w:val="18"/>
              </w:rPr>
              <w:t>新型建材有限公司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本公司之合营企业</w:t>
            </w:r>
          </w:p>
        </w:tc>
      </w:tr>
      <w:tr w:rsidR="00403CD6">
        <w:trPr>
          <w:trHeight w:val="284"/>
        </w:trPr>
        <w:tc>
          <w:tcPr>
            <w:tcW w:w="2500" w:type="pct"/>
            <w:vAlign w:val="center"/>
          </w:tcPr>
          <w:p w:rsidR="00403CD6" w:rsidRDefault="00E91A59">
            <w:pPr>
              <w:spacing w:line="240" w:lineRule="exact"/>
              <w:rPr>
                <w:color w:val="000000"/>
                <w:sz w:val="18"/>
                <w:szCs w:val="18"/>
              </w:rPr>
            </w:pPr>
            <w:r>
              <w:rPr>
                <w:rFonts w:hint="eastAsia"/>
                <w:color w:val="000000"/>
                <w:sz w:val="18"/>
                <w:szCs w:val="18"/>
              </w:rPr>
              <w:t>武汉晨</w:t>
            </w:r>
            <w:proofErr w:type="gramStart"/>
            <w:r>
              <w:rPr>
                <w:rFonts w:hint="eastAsia"/>
                <w:color w:val="000000"/>
                <w:sz w:val="18"/>
                <w:szCs w:val="18"/>
              </w:rPr>
              <w:t>鸣乾能</w:t>
            </w:r>
            <w:proofErr w:type="gramEnd"/>
            <w:r>
              <w:rPr>
                <w:rFonts w:hint="eastAsia"/>
                <w:color w:val="000000"/>
                <w:sz w:val="18"/>
                <w:szCs w:val="18"/>
              </w:rPr>
              <w:t>热电有限责任</w:t>
            </w:r>
            <w:r>
              <w:rPr>
                <w:color w:val="000000"/>
                <w:sz w:val="18"/>
                <w:szCs w:val="18"/>
              </w:rPr>
              <w:t>公司</w:t>
            </w:r>
          </w:p>
        </w:tc>
        <w:tc>
          <w:tcPr>
            <w:tcW w:w="2500" w:type="pct"/>
            <w:vAlign w:val="center"/>
          </w:tcPr>
          <w:p w:rsidR="00403CD6" w:rsidRDefault="00E91A59">
            <w:pPr>
              <w:spacing w:line="240" w:lineRule="exact"/>
              <w:rPr>
                <w:color w:val="000000"/>
                <w:sz w:val="18"/>
                <w:szCs w:val="18"/>
              </w:rPr>
            </w:pPr>
            <w:r>
              <w:rPr>
                <w:rFonts w:hint="eastAsia"/>
                <w:color w:val="000000"/>
                <w:sz w:val="18"/>
                <w:szCs w:val="18"/>
              </w:rPr>
              <w:t>本公司之联营企业的子公司</w:t>
            </w:r>
          </w:p>
        </w:tc>
      </w:tr>
      <w:tr w:rsidR="00403CD6">
        <w:trPr>
          <w:trHeight w:val="284"/>
        </w:trPr>
        <w:tc>
          <w:tcPr>
            <w:tcW w:w="2500" w:type="pct"/>
            <w:vAlign w:val="center"/>
          </w:tcPr>
          <w:p w:rsidR="00403CD6" w:rsidRDefault="00E91A59">
            <w:pPr>
              <w:spacing w:line="240" w:lineRule="exact"/>
              <w:rPr>
                <w:color w:val="000000"/>
                <w:sz w:val="18"/>
                <w:szCs w:val="18"/>
              </w:rPr>
            </w:pPr>
            <w:r>
              <w:rPr>
                <w:rFonts w:hint="eastAsia"/>
                <w:color w:val="000000"/>
                <w:sz w:val="18"/>
                <w:szCs w:val="18"/>
              </w:rPr>
              <w:t>武汉晨鸣汉阳纸业</w:t>
            </w:r>
            <w:r>
              <w:rPr>
                <w:color w:val="000000"/>
                <w:sz w:val="18"/>
                <w:szCs w:val="18"/>
              </w:rPr>
              <w:t>股份有限公司</w:t>
            </w:r>
          </w:p>
        </w:tc>
        <w:tc>
          <w:tcPr>
            <w:tcW w:w="2500" w:type="pct"/>
            <w:vAlign w:val="center"/>
          </w:tcPr>
          <w:p w:rsidR="00403CD6" w:rsidRDefault="00E91A59">
            <w:pPr>
              <w:spacing w:line="240" w:lineRule="exact"/>
              <w:rPr>
                <w:color w:val="000000"/>
                <w:sz w:val="18"/>
                <w:szCs w:val="18"/>
              </w:rPr>
            </w:pPr>
            <w:r>
              <w:rPr>
                <w:rFonts w:hint="eastAsia"/>
                <w:color w:val="000000"/>
                <w:sz w:val="18"/>
                <w:szCs w:val="18"/>
              </w:rPr>
              <w:t>本公司之联营企业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晨鸣（青岛）资产管理有限公司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本公司之联营企业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广东南粤银行股份有限公司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本公司之联营企业</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许昌晨鸣纸业股份有限公司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本公司之联营企业</w:t>
            </w:r>
          </w:p>
        </w:tc>
      </w:tr>
    </w:tbl>
    <w:p w:rsidR="00403CD6" w:rsidRDefault="00E91A59">
      <w:pPr>
        <w:keepNext/>
        <w:keepLines/>
        <w:spacing w:before="300" w:after="300" w:line="280" w:lineRule="exact"/>
        <w:outlineLvl w:val="2"/>
        <w:rPr>
          <w:rFonts w:ascii="宋体" w:eastAsia="宋体" w:hAnsi="宋体" w:cs="宋体"/>
          <w:b/>
          <w:bCs/>
          <w:szCs w:val="21"/>
        </w:rPr>
      </w:pPr>
      <w:bookmarkStart w:id="145" w:name="_Toc989484"/>
      <w:r>
        <w:rPr>
          <w:rFonts w:ascii="宋体" w:eastAsia="宋体" w:hAnsi="宋体" w:cs="宋体" w:hint="eastAsia"/>
          <w:b/>
          <w:bCs/>
          <w:szCs w:val="21"/>
        </w:rPr>
        <w:t>4、其他关联方情况</w:t>
      </w:r>
      <w:bookmarkEnd w:id="145"/>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403CD6">
        <w:trPr>
          <w:trHeight w:val="284"/>
        </w:trPr>
        <w:tc>
          <w:tcPr>
            <w:tcW w:w="250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其他关联方名称</w:t>
            </w:r>
          </w:p>
        </w:tc>
        <w:tc>
          <w:tcPr>
            <w:tcW w:w="2500" w:type="pct"/>
            <w:shd w:val="clear" w:color="auto" w:fill="D3D3D3"/>
            <w:vAlign w:val="center"/>
          </w:tcPr>
          <w:p w:rsidR="00403CD6" w:rsidRDefault="00E91A59">
            <w:pPr>
              <w:spacing w:before="40" w:after="40" w:line="240" w:lineRule="exact"/>
              <w:jc w:val="center"/>
              <w:rPr>
                <w:rFonts w:ascii="宋体" w:eastAsia="宋体" w:hAnsi="宋体" w:cs="宋体"/>
                <w:sz w:val="18"/>
                <w:szCs w:val="18"/>
              </w:rPr>
            </w:pPr>
            <w:r>
              <w:rPr>
                <w:rFonts w:ascii="宋体" w:eastAsia="宋体" w:hAnsi="宋体" w:cs="宋体" w:hint="eastAsia"/>
                <w:sz w:val="18"/>
                <w:szCs w:val="18"/>
              </w:rPr>
              <w:t>其他关联方与本企业关系</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寿光汇</w:t>
            </w:r>
            <w:proofErr w:type="gramStart"/>
            <w:r>
              <w:rPr>
                <w:rFonts w:hint="eastAsia"/>
                <w:color w:val="000000"/>
                <w:sz w:val="18"/>
                <w:szCs w:val="18"/>
              </w:rPr>
              <w:t>鑫</w:t>
            </w:r>
            <w:proofErr w:type="gramEnd"/>
            <w:r>
              <w:rPr>
                <w:rFonts w:hint="eastAsia"/>
                <w:color w:val="000000"/>
                <w:sz w:val="18"/>
                <w:szCs w:val="18"/>
              </w:rPr>
              <w:t>建材有限公司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公司董事、高级管理人员投资之公司的附属公司</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利得科技有限公司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公司董事、高级管理人员投资之公司的附属公司</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寿光</w:t>
            </w:r>
            <w:proofErr w:type="gramStart"/>
            <w:r>
              <w:rPr>
                <w:rFonts w:hint="eastAsia"/>
                <w:color w:val="000000"/>
                <w:sz w:val="18"/>
                <w:szCs w:val="18"/>
              </w:rPr>
              <w:t>晨鸣广源地</w:t>
            </w:r>
            <w:proofErr w:type="gramEnd"/>
            <w:r>
              <w:rPr>
                <w:rFonts w:hint="eastAsia"/>
                <w:color w:val="000000"/>
                <w:sz w:val="18"/>
                <w:szCs w:val="18"/>
              </w:rPr>
              <w:t>产有限公司</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公司董事、高级管理人员投资之公司的附属公司</w:t>
            </w:r>
          </w:p>
        </w:tc>
      </w:tr>
      <w:tr w:rsidR="00403CD6">
        <w:trPr>
          <w:trHeight w:val="284"/>
        </w:trPr>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胡长青、李兴春、李伟先、李峰、韩亭德、李传轩、李志辉、孙剑非、尹美群、杨彪、李康、潘爱玲、张宏、邱兰菊、桑爱玲、李振中、李明堂、葛光明、董连明、袁西坤、朱瀚</w:t>
            </w:r>
            <w:proofErr w:type="gramStart"/>
            <w:r>
              <w:rPr>
                <w:rFonts w:hint="eastAsia"/>
                <w:color w:val="000000"/>
                <w:sz w:val="18"/>
                <w:szCs w:val="18"/>
              </w:rPr>
              <w:t>樑</w:t>
            </w:r>
            <w:proofErr w:type="gramEnd"/>
            <w:r>
              <w:rPr>
                <w:rFonts w:hint="eastAsia"/>
                <w:color w:val="000000"/>
                <w:sz w:val="18"/>
                <w:szCs w:val="18"/>
              </w:rPr>
              <w:t>、陈洪国、李雪芹</w:t>
            </w:r>
          </w:p>
        </w:tc>
        <w:tc>
          <w:tcPr>
            <w:tcW w:w="2500" w:type="pct"/>
            <w:vAlign w:val="center"/>
          </w:tcPr>
          <w:p w:rsidR="00403CD6" w:rsidRDefault="00E91A59">
            <w:pPr>
              <w:spacing w:line="240" w:lineRule="exact"/>
              <w:rPr>
                <w:rFonts w:ascii="宋体" w:eastAsia="宋体" w:hAnsi="宋体" w:cs="宋体"/>
                <w:sz w:val="18"/>
                <w:szCs w:val="18"/>
              </w:rPr>
            </w:pPr>
            <w:r>
              <w:rPr>
                <w:rFonts w:hint="eastAsia"/>
                <w:color w:val="000000"/>
                <w:sz w:val="18"/>
                <w:szCs w:val="18"/>
              </w:rPr>
              <w:t>公司关键管理人员</w:t>
            </w:r>
          </w:p>
        </w:tc>
      </w:tr>
    </w:tbl>
    <w:p w:rsidR="00403CD6" w:rsidRDefault="00E91A59">
      <w:pPr>
        <w:keepNext/>
        <w:keepLines/>
        <w:spacing w:before="300" w:after="300" w:line="280" w:lineRule="exact"/>
        <w:outlineLvl w:val="2"/>
        <w:rPr>
          <w:rFonts w:ascii="宋体" w:eastAsia="宋体" w:hAnsi="宋体" w:cs="宋体"/>
          <w:b/>
          <w:bCs/>
          <w:szCs w:val="21"/>
        </w:rPr>
      </w:pPr>
      <w:bookmarkStart w:id="146" w:name="_Toc989485"/>
      <w:r>
        <w:rPr>
          <w:rFonts w:ascii="宋体" w:eastAsia="宋体" w:hAnsi="宋体" w:cs="宋体" w:hint="eastAsia"/>
          <w:b/>
          <w:bCs/>
          <w:szCs w:val="21"/>
        </w:rPr>
        <w:t>5、关联交易情况</w:t>
      </w:r>
      <w:bookmarkEnd w:id="146"/>
    </w:p>
    <w:p w:rsidR="00403CD6" w:rsidRDefault="00E91A59">
      <w:pPr>
        <w:keepNext/>
        <w:keepLines/>
        <w:spacing w:before="300" w:after="300" w:line="280" w:lineRule="exact"/>
        <w:outlineLvl w:val="3"/>
        <w:rPr>
          <w:rFonts w:ascii="宋体" w:eastAsia="宋体" w:hAnsi="宋体" w:cs="宋体"/>
          <w:b/>
          <w:bCs/>
          <w:szCs w:val="21"/>
        </w:rPr>
      </w:pPr>
      <w:bookmarkStart w:id="147" w:name="_Toc989486"/>
      <w:r>
        <w:rPr>
          <w:rFonts w:ascii="宋体" w:eastAsia="宋体" w:hAnsi="宋体" w:cs="宋体" w:hint="eastAsia"/>
          <w:b/>
          <w:bCs/>
          <w:szCs w:val="21"/>
        </w:rPr>
        <w:t>（1） 购销商品、提供和接受劳务的关联交易</w:t>
      </w:r>
      <w:bookmarkEnd w:id="147"/>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采购商品/接受劳务情况表</w:t>
      </w:r>
    </w:p>
    <w:p w:rsidR="00403CD6" w:rsidRDefault="00E91A59">
      <w:pPr>
        <w:spacing w:before="12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417"/>
        <w:gridCol w:w="1277"/>
        <w:gridCol w:w="1701"/>
        <w:gridCol w:w="1831"/>
        <w:gridCol w:w="1251"/>
      </w:tblGrid>
      <w:tr w:rsidR="00403CD6">
        <w:trPr>
          <w:trHeight w:val="284"/>
        </w:trPr>
        <w:tc>
          <w:tcPr>
            <w:tcW w:w="12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关联方</w:t>
            </w:r>
          </w:p>
        </w:tc>
        <w:tc>
          <w:tcPr>
            <w:tcW w:w="7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关联交易内容</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获批的交易额度</w:t>
            </w:r>
          </w:p>
        </w:tc>
        <w:tc>
          <w:tcPr>
            <w:tcW w:w="9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是否超过交易额度</w:t>
            </w:r>
          </w:p>
        </w:tc>
        <w:tc>
          <w:tcPr>
            <w:tcW w:w="63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2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潍坊港区木片码头有限公司</w:t>
            </w:r>
          </w:p>
        </w:tc>
        <w:tc>
          <w:tcPr>
            <w:tcW w:w="71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港杂费</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86,203,912.59</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110,000,000.00</w:t>
            </w:r>
          </w:p>
        </w:tc>
        <w:tc>
          <w:tcPr>
            <w:tcW w:w="92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c>
          <w:tcPr>
            <w:tcW w:w="6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78,803,278.24</w:t>
            </w:r>
          </w:p>
        </w:tc>
      </w:tr>
      <w:tr w:rsidR="00403CD6">
        <w:trPr>
          <w:trHeight w:val="284"/>
        </w:trPr>
        <w:tc>
          <w:tcPr>
            <w:tcW w:w="12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寿光美特环保科技有限公司</w:t>
            </w:r>
          </w:p>
        </w:tc>
        <w:tc>
          <w:tcPr>
            <w:tcW w:w="71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购买化工材料</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22,683,726.74</w:t>
            </w:r>
          </w:p>
        </w:tc>
        <w:tc>
          <w:tcPr>
            <w:tcW w:w="86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不适用</w:t>
            </w:r>
            <w:r>
              <w:rPr>
                <w:rFonts w:ascii="Times New Roman" w:hAnsi="Times New Roman" w:cs="Times New Roman"/>
                <w:color w:val="000000"/>
                <w:sz w:val="18"/>
                <w:szCs w:val="18"/>
              </w:rPr>
              <w:t xml:space="preserve"> </w:t>
            </w:r>
          </w:p>
        </w:tc>
        <w:tc>
          <w:tcPr>
            <w:tcW w:w="929"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不适用</w:t>
            </w:r>
            <w:r>
              <w:rPr>
                <w:rFonts w:ascii="Times New Roman" w:hAnsi="Times New Roman" w:cs="Times New Roman"/>
                <w:color w:val="000000"/>
                <w:sz w:val="18"/>
                <w:szCs w:val="18"/>
              </w:rPr>
              <w:t xml:space="preserve"> </w:t>
            </w:r>
          </w:p>
        </w:tc>
        <w:tc>
          <w:tcPr>
            <w:tcW w:w="63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79,998,572.97</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出售商品/提供劳务情况表</w:t>
      </w:r>
    </w:p>
    <w:p w:rsidR="00403CD6" w:rsidRDefault="00E91A59">
      <w:pPr>
        <w:spacing w:before="12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2268"/>
        <w:gridCol w:w="2179"/>
        <w:gridCol w:w="2463"/>
      </w:tblGrid>
      <w:tr w:rsidR="00403CD6">
        <w:trPr>
          <w:trHeight w:val="284"/>
        </w:trPr>
        <w:tc>
          <w:tcPr>
            <w:tcW w:w="149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关联方</w:t>
            </w:r>
          </w:p>
        </w:tc>
        <w:tc>
          <w:tcPr>
            <w:tcW w:w="11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关联交易内容</w:t>
            </w:r>
          </w:p>
        </w:tc>
        <w:tc>
          <w:tcPr>
            <w:tcW w:w="11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49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w:t>
            </w:r>
            <w:proofErr w:type="gramStart"/>
            <w:r>
              <w:rPr>
                <w:rFonts w:ascii="Times New Roman" w:hAnsi="Times New Roman" w:cs="Times New Roman"/>
                <w:color w:val="000000"/>
                <w:sz w:val="18"/>
                <w:szCs w:val="18"/>
              </w:rPr>
              <w:t>鸣汇森</w:t>
            </w:r>
            <w:proofErr w:type="gramEnd"/>
            <w:r>
              <w:rPr>
                <w:rFonts w:ascii="Times New Roman" w:hAnsi="Times New Roman" w:cs="Times New Roman"/>
                <w:color w:val="000000"/>
                <w:sz w:val="18"/>
                <w:szCs w:val="18"/>
              </w:rPr>
              <w:t>新型建材有限公司</w:t>
            </w:r>
          </w:p>
        </w:tc>
        <w:tc>
          <w:tcPr>
            <w:tcW w:w="115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销售电、汽</w:t>
            </w:r>
          </w:p>
        </w:tc>
        <w:tc>
          <w:tcPr>
            <w:tcW w:w="110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13,910,563.45</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16,738,082.47</w:t>
            </w:r>
          </w:p>
        </w:tc>
      </w:tr>
      <w:tr w:rsidR="00403CD6">
        <w:trPr>
          <w:trHeight w:val="284"/>
        </w:trPr>
        <w:tc>
          <w:tcPr>
            <w:tcW w:w="149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寿光汇</w:t>
            </w:r>
            <w:proofErr w:type="gramStart"/>
            <w:r>
              <w:rPr>
                <w:rFonts w:ascii="Times New Roman" w:hAnsi="Times New Roman" w:cs="Times New Roman"/>
                <w:color w:val="000000"/>
                <w:sz w:val="18"/>
                <w:szCs w:val="18"/>
              </w:rPr>
              <w:t>鑫</w:t>
            </w:r>
            <w:proofErr w:type="gramEnd"/>
            <w:r>
              <w:rPr>
                <w:rFonts w:ascii="Times New Roman" w:hAnsi="Times New Roman" w:cs="Times New Roman"/>
                <w:color w:val="000000"/>
                <w:sz w:val="18"/>
                <w:szCs w:val="18"/>
              </w:rPr>
              <w:t>建材有限公司</w:t>
            </w:r>
          </w:p>
        </w:tc>
        <w:tc>
          <w:tcPr>
            <w:tcW w:w="115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销售水泥、煤炭、油料等</w:t>
            </w:r>
          </w:p>
        </w:tc>
        <w:tc>
          <w:tcPr>
            <w:tcW w:w="110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238,057.97</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141,035.23</w:t>
            </w:r>
          </w:p>
        </w:tc>
      </w:tr>
      <w:tr w:rsidR="00403CD6">
        <w:trPr>
          <w:trHeight w:val="284"/>
        </w:trPr>
        <w:tc>
          <w:tcPr>
            <w:tcW w:w="149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寿光美特环保科技有限公司</w:t>
            </w:r>
          </w:p>
        </w:tc>
        <w:tc>
          <w:tcPr>
            <w:tcW w:w="115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销售电、水等</w:t>
            </w:r>
          </w:p>
        </w:tc>
        <w:tc>
          <w:tcPr>
            <w:tcW w:w="1106"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2,922,144.29</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8,446,713.09</w:t>
            </w:r>
          </w:p>
        </w:tc>
      </w:tr>
    </w:tbl>
    <w:p w:rsidR="00403CD6" w:rsidRDefault="00E91A59">
      <w:pPr>
        <w:keepNext/>
        <w:keepLines/>
        <w:spacing w:before="300" w:after="300" w:line="280" w:lineRule="exact"/>
        <w:outlineLvl w:val="3"/>
        <w:rPr>
          <w:rFonts w:ascii="宋体" w:eastAsia="宋体" w:hAnsi="宋体" w:cs="宋体"/>
          <w:b/>
          <w:bCs/>
          <w:szCs w:val="21"/>
        </w:rPr>
      </w:pPr>
      <w:bookmarkStart w:id="148" w:name="_Toc989488"/>
      <w:r>
        <w:rPr>
          <w:rFonts w:ascii="宋体" w:eastAsia="宋体" w:hAnsi="宋体" w:cs="宋体" w:hint="eastAsia"/>
          <w:b/>
          <w:bCs/>
          <w:szCs w:val="21"/>
        </w:rPr>
        <w:t>（2） 关联租赁情况</w:t>
      </w:r>
      <w:bookmarkEnd w:id="148"/>
    </w:p>
    <w:p w:rsidR="00403CD6" w:rsidRDefault="00E91A59">
      <w:pPr>
        <w:spacing w:before="40" w:after="40" w:line="240" w:lineRule="exact"/>
        <w:rPr>
          <w:rFonts w:ascii="宋体" w:eastAsia="宋体" w:hAnsi="宋体" w:cs="宋体"/>
          <w:sz w:val="18"/>
          <w:szCs w:val="18"/>
        </w:rPr>
      </w:pPr>
      <w:r>
        <w:rPr>
          <w:rFonts w:ascii="宋体" w:eastAsia="宋体" w:hAnsi="宋体" w:cs="宋体" w:hint="eastAsia"/>
          <w:sz w:val="18"/>
          <w:szCs w:val="18"/>
        </w:rPr>
        <w:t>本公司作为出租方：</w:t>
      </w:r>
    </w:p>
    <w:p w:rsidR="00403CD6" w:rsidRDefault="00E91A59">
      <w:pPr>
        <w:spacing w:before="12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8"/>
        <w:gridCol w:w="1701"/>
        <w:gridCol w:w="2463"/>
        <w:gridCol w:w="2461"/>
      </w:tblGrid>
      <w:tr w:rsidR="00403CD6">
        <w:trPr>
          <w:trHeight w:val="284"/>
        </w:trPr>
        <w:tc>
          <w:tcPr>
            <w:tcW w:w="16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承租方名称</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租赁资产种类</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本期确认的租赁收入</w:t>
            </w:r>
          </w:p>
        </w:tc>
        <w:tc>
          <w:tcPr>
            <w:tcW w:w="125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上期确认的租赁收入</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w:t>
            </w:r>
            <w:proofErr w:type="gramStart"/>
            <w:r>
              <w:rPr>
                <w:rFonts w:ascii="Times New Roman" w:hAnsi="Times New Roman" w:cs="Times New Roman"/>
                <w:color w:val="000000"/>
                <w:sz w:val="18"/>
                <w:szCs w:val="18"/>
              </w:rPr>
              <w:t>鸣汇森</w:t>
            </w:r>
            <w:proofErr w:type="gramEnd"/>
            <w:r>
              <w:rPr>
                <w:rFonts w:ascii="Times New Roman" w:hAnsi="Times New Roman" w:cs="Times New Roman"/>
                <w:color w:val="000000"/>
                <w:sz w:val="18"/>
                <w:szCs w:val="18"/>
              </w:rPr>
              <w:t>新型建材有限公司</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土地</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233,944.95</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222,477.07</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寿光汇</w:t>
            </w:r>
            <w:proofErr w:type="gramStart"/>
            <w:r>
              <w:rPr>
                <w:rFonts w:ascii="Times New Roman" w:hAnsi="Times New Roman" w:cs="Times New Roman"/>
                <w:color w:val="000000"/>
                <w:sz w:val="18"/>
                <w:szCs w:val="18"/>
              </w:rPr>
              <w:t>鑫</w:t>
            </w:r>
            <w:proofErr w:type="gramEnd"/>
            <w:r>
              <w:rPr>
                <w:rFonts w:ascii="Times New Roman" w:hAnsi="Times New Roman" w:cs="Times New Roman"/>
                <w:color w:val="000000"/>
                <w:sz w:val="18"/>
                <w:szCs w:val="18"/>
              </w:rPr>
              <w:t>建材有限公司</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土地</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123,853.21</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123,853.21</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寿光美特环保科技有限公司</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房屋</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1,467,889.91</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1,467,889.91</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晨鸣（青岛）资产管理有限公司</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房屋</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667,610.46</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789,102.99</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利得科技有限公司</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房屋</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1,918,497.41</w:t>
            </w:r>
          </w:p>
        </w:tc>
        <w:tc>
          <w:tcPr>
            <w:tcW w:w="1250"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1,898,020.91</w:t>
            </w:r>
          </w:p>
        </w:tc>
      </w:tr>
    </w:tbl>
    <w:p w:rsidR="00403CD6" w:rsidRDefault="00E91A59">
      <w:pPr>
        <w:keepNext/>
        <w:keepLines/>
        <w:spacing w:before="300" w:after="300" w:line="280" w:lineRule="exact"/>
        <w:outlineLvl w:val="3"/>
        <w:rPr>
          <w:rFonts w:ascii="宋体" w:eastAsia="宋体" w:hAnsi="宋体" w:cs="宋体"/>
          <w:b/>
          <w:bCs/>
          <w:szCs w:val="21"/>
        </w:rPr>
      </w:pPr>
      <w:bookmarkStart w:id="149" w:name="_Toc989489"/>
      <w:r>
        <w:rPr>
          <w:rFonts w:ascii="宋体" w:eastAsia="宋体" w:hAnsi="宋体" w:cs="宋体" w:hint="eastAsia"/>
          <w:b/>
          <w:bCs/>
          <w:szCs w:val="21"/>
        </w:rPr>
        <w:t>（3） 关联担保情况</w:t>
      </w:r>
      <w:bookmarkEnd w:id="149"/>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本公司作为担保方</w:t>
      </w:r>
    </w:p>
    <w:p w:rsidR="00403CD6" w:rsidRDefault="00E91A59">
      <w:pPr>
        <w:spacing w:before="12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7"/>
        <w:gridCol w:w="1559"/>
        <w:gridCol w:w="1701"/>
        <w:gridCol w:w="1277"/>
        <w:gridCol w:w="2089"/>
      </w:tblGrid>
      <w:tr w:rsidR="00403CD6">
        <w:trPr>
          <w:trHeight w:val="284"/>
        </w:trPr>
        <w:tc>
          <w:tcPr>
            <w:tcW w:w="16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被担保方</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担保金额</w:t>
            </w:r>
          </w:p>
        </w:tc>
        <w:tc>
          <w:tcPr>
            <w:tcW w:w="86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担保起始日</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担保到期日</w:t>
            </w:r>
          </w:p>
        </w:tc>
        <w:tc>
          <w:tcPr>
            <w:tcW w:w="106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担保是否已经履行完毕</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潍坊港区木片码头有限公司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78,400,000.00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2017-12-20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2027-12-20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19,847,274.98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16,115,273.43</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21,281,944.00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13,316,268.34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18,788,303.91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8,322,140.90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9,754,153.58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16,023,277.62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19,603,059.42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20,759,723.14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16,169,531.51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16,466,280.98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17,251,967.49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17,456,804.00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3,134,501.82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晨鸣（香港）有限公司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9,330,232.59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2024-2-2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2025-1-31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39,600,000.00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8,400,000.00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563,640,000.00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2019-12-16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2031-12-15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2020-9-30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2031-12-15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2022-5-20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11,060,000.00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2022-10-13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38,993,016.93</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2022-11-30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17,510,595.47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2026-1-12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4,299,000.00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886,000.00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2023-2-28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2023-3-9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2026-3-9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25,219,402.86</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2023-4-22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4,407,000.00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2023-4-25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19,107,717.37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2023-5-10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2,586,696.60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2023-5-23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16,414,514.00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2023-5-29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10,970,000.00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100,365,399.49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2023-7-6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2026-7-15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6,727,100.00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2023-8-29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4,220,000.00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2023-9-20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10,465,335.60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2023-10-13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78,236,501.55</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14,250,600.00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15,749,400.00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15,995,000.00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吉林晨鸣浆纤贸易有限公司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吉林晨鸣浆纤贸易有限公司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吉林晨鸣浆纤贸易有限公司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184,225,999.23</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2023-12-15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91,498,111.11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2026-9-28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江西晨鸣物流有限公司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106,975,661.00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2022-2-28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2027-2-28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7,971,781.19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2022-4-1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52,835,042.81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2022-5-23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8,609,827.27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2022-8-18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2022-10-11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2023-9-8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2026-8-22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15,334,938.09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39,999,702.50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2025-12-31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193,450,000.00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57,600,000.00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2026-3-29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29,700,000.00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2027-10-17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19,800,000.00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江西晨鸣纸业有限责任公司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10,450,000.00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258,402,137.74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101,549,733.69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203,370,000.00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32,680,000.00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2025-9-19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山东晨鸣纸业销售有限公司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153,820,000.00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9,250,000.00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2023-2-13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2026-2-12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4,411,888.83</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35,200,404.98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上海晨鸣浆纸销售有限公司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2029-9-24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上海和</w:t>
            </w:r>
            <w:proofErr w:type="gramStart"/>
            <w:r>
              <w:rPr>
                <w:rFonts w:ascii="Times New Roman" w:hAnsi="Times New Roman" w:cs="Times New Roman"/>
                <w:color w:val="000000"/>
                <w:sz w:val="18"/>
                <w:szCs w:val="18"/>
              </w:rPr>
              <w:t>睿</w:t>
            </w:r>
            <w:proofErr w:type="gramEnd"/>
            <w:r>
              <w:rPr>
                <w:rFonts w:ascii="Times New Roman" w:hAnsi="Times New Roman" w:cs="Times New Roman"/>
                <w:color w:val="000000"/>
                <w:sz w:val="18"/>
                <w:szCs w:val="18"/>
              </w:rPr>
              <w:t>鸣物业管理有限公司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59,980,000.00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上海和</w:t>
            </w:r>
            <w:proofErr w:type="gramStart"/>
            <w:r>
              <w:rPr>
                <w:rFonts w:ascii="Times New Roman" w:hAnsi="Times New Roman" w:cs="Times New Roman"/>
                <w:color w:val="000000"/>
                <w:sz w:val="18"/>
                <w:szCs w:val="18"/>
              </w:rPr>
              <w:t>睿</w:t>
            </w:r>
            <w:proofErr w:type="gramEnd"/>
            <w:r>
              <w:rPr>
                <w:rFonts w:ascii="Times New Roman" w:hAnsi="Times New Roman" w:cs="Times New Roman"/>
                <w:color w:val="000000"/>
                <w:sz w:val="18"/>
                <w:szCs w:val="18"/>
              </w:rPr>
              <w:t>鸣物业管理有限公司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上海鸿泰房地产有限公司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2,004,545,455.00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2038-3-20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31,179,628.93</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72,595,822.02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31,892,669.52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90,959,280.79</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28,842,694.68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44,522,892.05</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寿光晨鸣造纸机械有限公司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9,979,722.22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寿光鸿翔印刷包装有限责任公司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9,856,554.16</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2021-9-9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2026-8-20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13,265,425.74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2021-12-14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2,999,174.16</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2021-12-20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147,158,650.41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2022-3-14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2027-3-14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8,861,179.27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2022-5-24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13,845,230.30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2022-6-6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21,399,530.65</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2022-8-25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21,466,666.64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2022-9-30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109,591,059.28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2022-11-25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2028-1-15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2027-12-26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5,074,948.25</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2022-12-29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2023-3-29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106,670,000.00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2027-5-20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34,420,409.16</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2023-8-30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2026-8-30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17,178,745.04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2023-10-8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71,649,000.00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2023-10-23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2024-10-23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42,974,114.02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2023-10-25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2026-10-25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41,278,885.85</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2027-1-28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22,446,656.28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46,166,000.00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2027-5-24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56,044,826.08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69,241,000.00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2027-5-28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45,727,471.68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98,114,605.57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178,130,000.00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2027-6-28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51,392,466.44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94,028,794.20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2026-7-11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91,760,000.00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25,120,755.08</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15,900,000.00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43,000,000.00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62,000,000.00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199,500,000.00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133,253,598.00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49,497,280.00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寿光美伦纸业有限责任公司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2016-3-14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2028-3-13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2016-8-18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2028-3-13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940,000,000.00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2018-3-26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2029-3-25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2022-6-17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60,540,260.41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2022-6-29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51,000,000.00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2023-3-31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2026-3-30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2026-6-2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60,900,191.21</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2023-6-20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2026-6-20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2023-7-12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2026-7-12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164,172,110.17</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2028-11-8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85,500,000.00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31,000,000.00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2024-5-16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75,770,782.44</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2024-5-31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38,372,000.00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47,784,000.00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48,000,000.00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58,940,000.00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62,000,000.00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26,620,000.00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69,440,000.00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70,500,000.00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2025-7-11</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41,408,350.00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2024-7-24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2025-7-22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100,399,224.00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2025-8-5</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67,000,000.00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2025-8-13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2024-8-14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2025-2-14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2027-9-13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lastRenderedPageBreak/>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78,000,000.00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62,000,000.00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2025-10-14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2024-10-15</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2025-4-14</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50,290,000.00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2024-10-17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98,700,000.00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167,500,000.00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2024-11-11</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50,290,000.00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2024-11-12</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2024-11-13</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2025-5-12</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100,200,000.00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2024-11-14</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2025-11-13</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59,460,000.00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2025-11-19</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2024-11-27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2025-5-26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47,500,000.00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2024-12-18</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2024-12-19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2025-6-18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湛江晨鸣浆纸有限公司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49,950,000.00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2024-12-30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2025-6-30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佛山晨鸣进出口贸易有限公司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2025-3-28</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海南晨鸣科技有限公司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2024-4-10</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2025-4-7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湛江晨鸣林业发展有限公司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44,160,000.00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2024-3-29</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2026-3-27</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黄冈晨鸣港口服务有限公司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2023-12-27</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2025-12-20</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吉林晨鸣浆纤贸易有限公司</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10,000,000.00</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2024-9-26</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2025-9-26</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否</w:t>
            </w:r>
          </w:p>
        </w:tc>
      </w:tr>
      <w:tr w:rsidR="00403CD6">
        <w:trPr>
          <w:trHeight w:val="284"/>
        </w:trPr>
        <w:tc>
          <w:tcPr>
            <w:tcW w:w="1638" w:type="pct"/>
            <w:vAlign w:val="center"/>
          </w:tcPr>
          <w:p w:rsidR="00403CD6" w:rsidRDefault="00E91A59">
            <w:pPr>
              <w:spacing w:line="240" w:lineRule="exact"/>
              <w:jc w:val="center"/>
              <w:rPr>
                <w:rFonts w:ascii="Times New Roman" w:eastAsia="宋体" w:hAnsi="Times New Roman" w:cs="Times New Roman"/>
                <w:sz w:val="18"/>
                <w:szCs w:val="18"/>
              </w:rPr>
            </w:pPr>
            <w:r>
              <w:rPr>
                <w:rFonts w:ascii="Times New Roman" w:hAnsi="Times New Roman" w:cs="Times New Roman"/>
                <w:color w:val="000000"/>
                <w:sz w:val="18"/>
                <w:szCs w:val="18"/>
              </w:rPr>
              <w:t>合计</w:t>
            </w:r>
          </w:p>
        </w:tc>
        <w:tc>
          <w:tcPr>
            <w:tcW w:w="791"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19,032,267,355.72</w:t>
            </w:r>
          </w:p>
        </w:tc>
        <w:tc>
          <w:tcPr>
            <w:tcW w:w="863"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bookmarkStart w:id="150" w:name="_Toc989490"/>
      <w:r>
        <w:rPr>
          <w:rFonts w:ascii="宋体" w:eastAsia="宋体" w:hAnsi="宋体" w:cs="宋体" w:hint="eastAsia"/>
          <w:b/>
          <w:bCs/>
          <w:szCs w:val="21"/>
        </w:rPr>
        <w:t>（4） 关联方资金拆借</w:t>
      </w:r>
      <w:bookmarkEnd w:id="150"/>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3"/>
        <w:gridCol w:w="2126"/>
        <w:gridCol w:w="1982"/>
        <w:gridCol w:w="1561"/>
        <w:gridCol w:w="1381"/>
      </w:tblGrid>
      <w:tr w:rsidR="00403CD6">
        <w:trPr>
          <w:trHeight w:val="284"/>
        </w:trPr>
        <w:tc>
          <w:tcPr>
            <w:tcW w:w="142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关联方</w:t>
            </w:r>
          </w:p>
        </w:tc>
        <w:tc>
          <w:tcPr>
            <w:tcW w:w="107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拆借金额</w:t>
            </w:r>
          </w:p>
        </w:tc>
        <w:tc>
          <w:tcPr>
            <w:tcW w:w="100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起始日</w:t>
            </w:r>
          </w:p>
        </w:tc>
        <w:tc>
          <w:tcPr>
            <w:tcW w:w="7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到期日</w:t>
            </w:r>
          </w:p>
        </w:tc>
        <w:tc>
          <w:tcPr>
            <w:tcW w:w="70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说明</w:t>
            </w:r>
          </w:p>
        </w:tc>
      </w:tr>
      <w:tr w:rsidR="00403CD6">
        <w:trPr>
          <w:trHeight w:val="284"/>
        </w:trPr>
        <w:tc>
          <w:tcPr>
            <w:tcW w:w="5000" w:type="pct"/>
            <w:gridSpan w:val="5"/>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拆入</w:t>
            </w:r>
          </w:p>
        </w:tc>
      </w:tr>
      <w:tr w:rsidR="00403CD6">
        <w:trPr>
          <w:trHeight w:val="284"/>
        </w:trPr>
        <w:tc>
          <w:tcPr>
            <w:tcW w:w="142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晨鸣控股有限公司</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292,510,000.00</w:t>
            </w:r>
          </w:p>
        </w:tc>
        <w:tc>
          <w:tcPr>
            <w:tcW w:w="10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2024-4-11</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2024-12-31</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控股股东</w:t>
            </w:r>
          </w:p>
        </w:tc>
      </w:tr>
      <w:tr w:rsidR="00403CD6">
        <w:trPr>
          <w:trHeight w:val="284"/>
        </w:trPr>
        <w:tc>
          <w:tcPr>
            <w:tcW w:w="142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广东南粤银行股份有限公司</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857,890,000.00</w:t>
            </w:r>
          </w:p>
        </w:tc>
        <w:tc>
          <w:tcPr>
            <w:tcW w:w="10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2024-3-26</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2024-12-31</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联营企业</w:t>
            </w:r>
          </w:p>
        </w:tc>
      </w:tr>
      <w:tr w:rsidR="00403CD6">
        <w:trPr>
          <w:trHeight w:val="284"/>
        </w:trPr>
        <w:tc>
          <w:tcPr>
            <w:tcW w:w="5000" w:type="pct"/>
            <w:gridSpan w:val="5"/>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拆出</w:t>
            </w:r>
          </w:p>
        </w:tc>
      </w:tr>
      <w:tr w:rsidR="00403CD6">
        <w:trPr>
          <w:trHeight w:val="284"/>
        </w:trPr>
        <w:tc>
          <w:tcPr>
            <w:tcW w:w="142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潍坊港区木片码头有限公司</w:t>
            </w:r>
          </w:p>
        </w:tc>
        <w:tc>
          <w:tcPr>
            <w:tcW w:w="107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35,000,000.00</w:t>
            </w:r>
          </w:p>
        </w:tc>
        <w:tc>
          <w:tcPr>
            <w:tcW w:w="1006"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2024-6-28</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2025-6-27</w:t>
            </w:r>
          </w:p>
        </w:tc>
        <w:tc>
          <w:tcPr>
            <w:tcW w:w="701"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合营企业</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（5） 关键管理人员报酬</w:t>
      </w:r>
    </w:p>
    <w:p w:rsidR="00403CD6" w:rsidRDefault="00E91A59">
      <w:pPr>
        <w:keepNext/>
        <w:keepLines/>
        <w:spacing w:before="300" w:after="300" w:line="280" w:lineRule="exact"/>
        <w:rPr>
          <w:rFonts w:ascii="宋体" w:eastAsia="宋体" w:hAnsi="宋体" w:cs="宋体"/>
          <w:b/>
          <w:bCs/>
          <w:szCs w:val="21"/>
        </w:rPr>
      </w:pPr>
      <w:r>
        <w:rPr>
          <w:rFonts w:ascii="Times New Roman" w:hAnsi="Times New Roman" w:cs="Times New Roman"/>
          <w:sz w:val="18"/>
          <w:szCs w:val="18"/>
        </w:rPr>
        <w:t>本公司本期关键管理人员</w:t>
      </w:r>
      <w:r>
        <w:rPr>
          <w:rFonts w:ascii="Times New Roman" w:hAnsi="Times New Roman" w:cs="Times New Roman" w:hint="eastAsia"/>
          <w:sz w:val="18"/>
          <w:szCs w:val="18"/>
        </w:rPr>
        <w:t>23</w:t>
      </w:r>
      <w:r>
        <w:rPr>
          <w:rFonts w:ascii="Times New Roman" w:hAnsi="Times New Roman" w:cs="Times New Roman"/>
          <w:sz w:val="18"/>
          <w:szCs w:val="18"/>
        </w:rPr>
        <w:t>人，上期关键管理人员</w:t>
      </w:r>
      <w:r>
        <w:rPr>
          <w:rFonts w:ascii="Times New Roman" w:hAnsi="Times New Roman" w:cs="Times New Roman" w:hint="eastAsia"/>
          <w:sz w:val="18"/>
          <w:szCs w:val="18"/>
        </w:rPr>
        <w:t>23</w:t>
      </w:r>
      <w:r>
        <w:rPr>
          <w:rFonts w:ascii="Times New Roman" w:hAnsi="Times New Roman" w:cs="Times New Roman"/>
          <w:sz w:val="18"/>
          <w:szCs w:val="18"/>
        </w:rPr>
        <w:t>人，支付薪酬情况见下表：</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w:t>
      </w:r>
      <w:r>
        <w:rPr>
          <w:rFonts w:ascii="Times New Roman" w:hAnsi="Times New Roman" w:cs="Times New Roman" w:hint="eastAsia"/>
          <w:sz w:val="18"/>
          <w:szCs w:val="18"/>
        </w:rPr>
        <w:t>万</w:t>
      </w:r>
      <w:r>
        <w:rPr>
          <w:rFonts w:ascii="Times New Roman" w:hAnsi="Times New Roman" w:cs="Times New Roman"/>
          <w:sz w:val="18"/>
          <w:szCs w:val="18"/>
        </w:rPr>
        <w:t>元</w:t>
      </w:r>
    </w:p>
    <w:tbl>
      <w:tblPr>
        <w:tblW w:w="494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8"/>
        <w:gridCol w:w="3285"/>
        <w:gridCol w:w="3282"/>
      </w:tblGrid>
      <w:tr w:rsidR="00403CD6">
        <w:trPr>
          <w:trHeight w:val="284"/>
        </w:trPr>
        <w:tc>
          <w:tcPr>
            <w:tcW w:w="163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8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8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630"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关键管理人员薪酬</w:t>
            </w:r>
          </w:p>
        </w:tc>
        <w:tc>
          <w:tcPr>
            <w:tcW w:w="1685"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1,622.15</w:t>
            </w:r>
          </w:p>
        </w:tc>
        <w:tc>
          <w:tcPr>
            <w:tcW w:w="168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宋体" w:hAnsi="Times New Roman" w:cs="Times New Roman"/>
                <w:sz w:val="18"/>
                <w:szCs w:val="18"/>
              </w:rPr>
              <w:t>2,361.67</w:t>
            </w:r>
          </w:p>
        </w:tc>
      </w:tr>
    </w:tbl>
    <w:p w:rsidR="00403CD6" w:rsidRDefault="00E91A59">
      <w:pPr>
        <w:autoSpaceDE w:val="0"/>
        <w:autoSpaceDN w:val="0"/>
        <w:adjustRightInd w:val="0"/>
        <w:spacing w:before="120" w:after="216"/>
        <w:ind w:firstLineChars="200" w:firstLine="360"/>
        <w:rPr>
          <w:rFonts w:ascii="Times New Roman" w:hAnsi="Times New Roman" w:cs="Times New Roman"/>
          <w:sz w:val="18"/>
          <w:szCs w:val="18"/>
        </w:rPr>
      </w:pPr>
      <w:r>
        <w:rPr>
          <w:rFonts w:ascii="宋体" w:eastAsia="宋体" w:hAnsi="宋体" w:cs="宋体" w:hint="eastAsia"/>
          <w:sz w:val="18"/>
          <w:szCs w:val="18"/>
        </w:rPr>
        <w:t>①</w:t>
      </w:r>
      <w:r>
        <w:rPr>
          <w:rFonts w:ascii="Times New Roman" w:hAnsi="Times New Roman" w:cs="Times New Roman"/>
          <w:sz w:val="18"/>
          <w:szCs w:val="18"/>
        </w:rPr>
        <w:t>关键管理人员薪酬分部区间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4121"/>
        <w:gridCol w:w="2768"/>
        <w:gridCol w:w="2768"/>
      </w:tblGrid>
      <w:tr w:rsidR="00403CD6">
        <w:trPr>
          <w:trHeight w:val="284"/>
        </w:trPr>
        <w:tc>
          <w:tcPr>
            <w:tcW w:w="2134" w:type="pct"/>
            <w:shd w:val="clear" w:color="auto" w:fill="D9D9D9"/>
            <w:vAlign w:val="center"/>
          </w:tcPr>
          <w:p w:rsidR="00403CD6" w:rsidRDefault="00E91A59">
            <w:pPr>
              <w:keepNext/>
              <w:keepLines/>
              <w:autoSpaceDE w:val="0"/>
              <w:autoSpaceDN w:val="0"/>
              <w:adjustRightInd w:val="0"/>
              <w:spacing w:line="241" w:lineRule="auto"/>
              <w:jc w:val="center"/>
              <w:rPr>
                <w:rFonts w:ascii="Times New Roman" w:hAnsi="Times New Roman" w:cs="Times New Roman"/>
                <w:sz w:val="18"/>
                <w:szCs w:val="18"/>
              </w:rPr>
            </w:pPr>
            <w:r>
              <w:rPr>
                <w:rFonts w:ascii="Times New Roman" w:hAnsi="Times New Roman" w:cs="Times New Roman"/>
                <w:sz w:val="18"/>
                <w:szCs w:val="18"/>
              </w:rPr>
              <w:lastRenderedPageBreak/>
              <w:t>年度报酬区间</w:t>
            </w:r>
          </w:p>
        </w:tc>
        <w:tc>
          <w:tcPr>
            <w:tcW w:w="1433" w:type="pct"/>
            <w:shd w:val="clear" w:color="auto" w:fill="D9D9D9"/>
            <w:vAlign w:val="center"/>
          </w:tcPr>
          <w:p w:rsidR="00403CD6" w:rsidRDefault="00E91A59">
            <w:pPr>
              <w:keepNext/>
              <w:keepLines/>
              <w:autoSpaceDE w:val="0"/>
              <w:autoSpaceDN w:val="0"/>
              <w:adjustRightInd w:val="0"/>
              <w:spacing w:line="241" w:lineRule="auto"/>
              <w:jc w:val="center"/>
              <w:rPr>
                <w:rFonts w:ascii="Times New Roman" w:hAnsi="Times New Roman" w:cs="Times New Roman"/>
                <w:sz w:val="18"/>
                <w:szCs w:val="18"/>
              </w:rPr>
            </w:pPr>
            <w:r>
              <w:rPr>
                <w:rFonts w:ascii="Times New Roman" w:hAnsi="Times New Roman" w:cs="Times New Roman"/>
                <w:sz w:val="18"/>
                <w:szCs w:val="18"/>
              </w:rPr>
              <w:t>本年数（万元）</w:t>
            </w:r>
          </w:p>
        </w:tc>
        <w:tc>
          <w:tcPr>
            <w:tcW w:w="1433" w:type="pct"/>
            <w:shd w:val="clear" w:color="auto" w:fill="D9D9D9"/>
            <w:vAlign w:val="center"/>
          </w:tcPr>
          <w:p w:rsidR="00403CD6" w:rsidRDefault="00E91A59">
            <w:pPr>
              <w:keepNext/>
              <w:keepLines/>
              <w:autoSpaceDE w:val="0"/>
              <w:autoSpaceDN w:val="0"/>
              <w:adjustRightInd w:val="0"/>
              <w:spacing w:line="241" w:lineRule="auto"/>
              <w:jc w:val="center"/>
              <w:rPr>
                <w:rFonts w:ascii="Times New Roman" w:hAnsi="Times New Roman" w:cs="Times New Roman"/>
                <w:sz w:val="18"/>
                <w:szCs w:val="18"/>
              </w:rPr>
            </w:pPr>
            <w:r>
              <w:rPr>
                <w:rFonts w:ascii="Times New Roman" w:hAnsi="Times New Roman" w:cs="Times New Roman"/>
                <w:sz w:val="18"/>
                <w:szCs w:val="18"/>
              </w:rPr>
              <w:t>上年数（万元）</w:t>
            </w:r>
          </w:p>
        </w:tc>
      </w:tr>
      <w:tr w:rsidR="00403CD6">
        <w:trPr>
          <w:trHeight w:val="284"/>
        </w:trPr>
        <w:tc>
          <w:tcPr>
            <w:tcW w:w="2134" w:type="pct"/>
            <w:vAlign w:val="center"/>
          </w:tcPr>
          <w:p w:rsidR="00403CD6" w:rsidRDefault="00E91A59">
            <w:pPr>
              <w:keepNext/>
              <w:keepLines/>
              <w:autoSpaceDE w:val="0"/>
              <w:autoSpaceDN w:val="0"/>
              <w:adjustRightInd w:val="0"/>
              <w:spacing w:line="241" w:lineRule="auto"/>
              <w:jc w:val="both"/>
              <w:rPr>
                <w:rFonts w:ascii="Times New Roman" w:hAnsi="Times New Roman" w:cs="Times New Roman"/>
                <w:sz w:val="18"/>
                <w:szCs w:val="18"/>
              </w:rPr>
            </w:pPr>
            <w:r>
              <w:rPr>
                <w:rFonts w:ascii="Times New Roman" w:hAnsi="Times New Roman" w:cs="Times New Roman"/>
                <w:sz w:val="18"/>
                <w:szCs w:val="18"/>
              </w:rPr>
              <w:t>总额</w:t>
            </w:r>
          </w:p>
        </w:tc>
        <w:tc>
          <w:tcPr>
            <w:tcW w:w="1433" w:type="pct"/>
            <w:vAlign w:val="center"/>
          </w:tcPr>
          <w:p w:rsidR="00403CD6" w:rsidRDefault="00E91A59">
            <w:pPr>
              <w:keepNext/>
              <w:keepLines/>
              <w:autoSpaceDE w:val="0"/>
              <w:autoSpaceDN w:val="0"/>
              <w:adjustRightInd w:val="0"/>
              <w:spacing w:line="241" w:lineRule="auto"/>
              <w:jc w:val="center"/>
              <w:rPr>
                <w:rFonts w:ascii="Times New Roman" w:hAnsi="Times New Roman" w:cs="Times New Roman"/>
                <w:sz w:val="18"/>
                <w:szCs w:val="18"/>
              </w:rPr>
            </w:pPr>
            <w:r>
              <w:rPr>
                <w:rFonts w:ascii="Times New Roman" w:eastAsia="宋体" w:hAnsi="Times New Roman" w:cs="Times New Roman" w:hint="eastAsia"/>
                <w:sz w:val="18"/>
                <w:szCs w:val="18"/>
              </w:rPr>
              <w:t>1,622.15</w:t>
            </w:r>
          </w:p>
        </w:tc>
        <w:tc>
          <w:tcPr>
            <w:tcW w:w="1433" w:type="pct"/>
            <w:vAlign w:val="center"/>
          </w:tcPr>
          <w:p w:rsidR="00403CD6" w:rsidRDefault="00E91A59">
            <w:pPr>
              <w:keepNext/>
              <w:keepLines/>
              <w:autoSpaceDE w:val="0"/>
              <w:autoSpaceDN w:val="0"/>
              <w:adjustRightInd w:val="0"/>
              <w:spacing w:line="241" w:lineRule="auto"/>
              <w:jc w:val="center"/>
              <w:rPr>
                <w:rFonts w:ascii="Times New Roman" w:hAnsi="Times New Roman" w:cs="Times New Roman"/>
                <w:sz w:val="18"/>
                <w:szCs w:val="18"/>
              </w:rPr>
            </w:pPr>
            <w:r>
              <w:rPr>
                <w:rFonts w:ascii="Times New Roman" w:hAnsi="Times New Roman" w:cs="Times New Roman"/>
                <w:sz w:val="18"/>
                <w:szCs w:val="18"/>
              </w:rPr>
              <w:t>2,361.67</w:t>
            </w:r>
          </w:p>
        </w:tc>
      </w:tr>
      <w:tr w:rsidR="00403CD6">
        <w:trPr>
          <w:trHeight w:val="284"/>
        </w:trPr>
        <w:tc>
          <w:tcPr>
            <w:tcW w:w="5000" w:type="pct"/>
            <w:gridSpan w:val="3"/>
            <w:vAlign w:val="center"/>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其中：（</w:t>
            </w:r>
            <w:proofErr w:type="gramStart"/>
            <w:r>
              <w:rPr>
                <w:rFonts w:ascii="Times New Roman" w:hAnsi="Times New Roman" w:cs="Times New Roman"/>
                <w:sz w:val="18"/>
                <w:szCs w:val="18"/>
              </w:rPr>
              <w:t>各金额</w:t>
            </w:r>
            <w:proofErr w:type="gramEnd"/>
            <w:r>
              <w:rPr>
                <w:rFonts w:ascii="Times New Roman" w:hAnsi="Times New Roman" w:cs="Times New Roman"/>
                <w:sz w:val="18"/>
                <w:szCs w:val="18"/>
              </w:rPr>
              <w:t>区间人数）</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400</w:t>
            </w:r>
            <w:r>
              <w:rPr>
                <w:rFonts w:ascii="Times New Roman" w:hAnsi="Times New Roman" w:cs="Times New Roman"/>
                <w:sz w:val="18"/>
                <w:szCs w:val="18"/>
              </w:rPr>
              <w:t>～</w:t>
            </w:r>
            <w:r>
              <w:rPr>
                <w:rFonts w:ascii="Times New Roman" w:hAnsi="Times New Roman" w:cs="Times New Roman"/>
                <w:sz w:val="18"/>
                <w:szCs w:val="18"/>
              </w:rPr>
              <w:t>480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1</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360</w:t>
            </w:r>
            <w:r>
              <w:rPr>
                <w:rFonts w:ascii="Times New Roman" w:hAnsi="Times New Roman" w:cs="Times New Roman"/>
                <w:sz w:val="18"/>
                <w:szCs w:val="18"/>
              </w:rPr>
              <w:t>～</w:t>
            </w:r>
            <w:r>
              <w:rPr>
                <w:rFonts w:ascii="Times New Roman" w:hAnsi="Times New Roman" w:cs="Times New Roman"/>
                <w:sz w:val="18"/>
                <w:szCs w:val="18"/>
              </w:rPr>
              <w:t>400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320</w:t>
            </w:r>
            <w:r>
              <w:rPr>
                <w:rFonts w:ascii="Times New Roman" w:hAnsi="Times New Roman" w:cs="Times New Roman"/>
                <w:sz w:val="18"/>
                <w:szCs w:val="18"/>
              </w:rPr>
              <w:t>～</w:t>
            </w:r>
            <w:r>
              <w:rPr>
                <w:rFonts w:ascii="Times New Roman" w:hAnsi="Times New Roman" w:cs="Times New Roman"/>
                <w:sz w:val="18"/>
                <w:szCs w:val="18"/>
              </w:rPr>
              <w:t>360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280</w:t>
            </w:r>
            <w:r>
              <w:rPr>
                <w:rFonts w:ascii="Times New Roman" w:hAnsi="Times New Roman" w:cs="Times New Roman"/>
                <w:sz w:val="18"/>
                <w:szCs w:val="18"/>
              </w:rPr>
              <w:t>～</w:t>
            </w:r>
            <w:r>
              <w:rPr>
                <w:rFonts w:ascii="Times New Roman" w:hAnsi="Times New Roman" w:cs="Times New Roman"/>
                <w:sz w:val="18"/>
                <w:szCs w:val="18"/>
              </w:rPr>
              <w:t>320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1</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240</w:t>
            </w:r>
            <w:r>
              <w:rPr>
                <w:rFonts w:ascii="Times New Roman" w:hAnsi="Times New Roman" w:cs="Times New Roman"/>
                <w:sz w:val="18"/>
                <w:szCs w:val="18"/>
              </w:rPr>
              <w:t>～</w:t>
            </w:r>
            <w:r>
              <w:rPr>
                <w:rFonts w:ascii="Times New Roman" w:hAnsi="Times New Roman" w:cs="Times New Roman"/>
                <w:sz w:val="18"/>
                <w:szCs w:val="18"/>
              </w:rPr>
              <w:t>280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200</w:t>
            </w:r>
            <w:r>
              <w:rPr>
                <w:rFonts w:ascii="Times New Roman" w:hAnsi="Times New Roman" w:cs="Times New Roman"/>
                <w:sz w:val="18"/>
                <w:szCs w:val="18"/>
              </w:rPr>
              <w:t>～</w:t>
            </w:r>
            <w:r>
              <w:rPr>
                <w:rFonts w:ascii="Times New Roman" w:hAnsi="Times New Roman" w:cs="Times New Roman"/>
                <w:sz w:val="18"/>
                <w:szCs w:val="18"/>
              </w:rPr>
              <w:t>240</w:t>
            </w:r>
            <w:r>
              <w:rPr>
                <w:rFonts w:ascii="Times New Roman" w:hAnsi="Times New Roman" w:cs="Times New Roman"/>
                <w:sz w:val="18"/>
                <w:szCs w:val="18"/>
              </w:rPr>
              <w:t>万元</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2</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2</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160</w:t>
            </w:r>
            <w:r>
              <w:rPr>
                <w:rFonts w:ascii="Times New Roman" w:hAnsi="Times New Roman" w:cs="Times New Roman"/>
                <w:sz w:val="18"/>
                <w:szCs w:val="18"/>
              </w:rPr>
              <w:t>～</w:t>
            </w:r>
            <w:r>
              <w:rPr>
                <w:rFonts w:ascii="Times New Roman" w:hAnsi="Times New Roman" w:cs="Times New Roman"/>
                <w:sz w:val="18"/>
                <w:szCs w:val="18"/>
              </w:rPr>
              <w:t>200</w:t>
            </w:r>
            <w:r>
              <w:rPr>
                <w:rFonts w:ascii="Times New Roman" w:hAnsi="Times New Roman" w:cs="Times New Roman"/>
                <w:sz w:val="18"/>
                <w:szCs w:val="18"/>
              </w:rPr>
              <w:t>万元</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2</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1</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120</w:t>
            </w:r>
            <w:r>
              <w:rPr>
                <w:rFonts w:ascii="Times New Roman" w:hAnsi="Times New Roman" w:cs="Times New Roman"/>
                <w:sz w:val="18"/>
                <w:szCs w:val="18"/>
              </w:rPr>
              <w:t>～</w:t>
            </w:r>
            <w:r>
              <w:rPr>
                <w:rFonts w:ascii="Times New Roman" w:hAnsi="Times New Roman" w:cs="Times New Roman"/>
                <w:sz w:val="18"/>
                <w:szCs w:val="18"/>
              </w:rPr>
              <w:t>160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jc w:val="center"/>
              <w:rPr>
                <w:rFonts w:ascii="Times New Roman" w:hAnsi="Times New Roman" w:cs="Times New Roman"/>
                <w:sz w:val="18"/>
                <w:szCs w:val="18"/>
              </w:rPr>
            </w:pP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4</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80</w:t>
            </w:r>
            <w:r>
              <w:rPr>
                <w:rFonts w:ascii="Times New Roman" w:hAnsi="Times New Roman" w:cs="Times New Roman"/>
                <w:sz w:val="18"/>
                <w:szCs w:val="18"/>
              </w:rPr>
              <w:t>～</w:t>
            </w:r>
            <w:r>
              <w:rPr>
                <w:rFonts w:ascii="Times New Roman" w:hAnsi="Times New Roman" w:cs="Times New Roman"/>
                <w:sz w:val="18"/>
                <w:szCs w:val="18"/>
              </w:rPr>
              <w:t>120</w:t>
            </w:r>
            <w:r>
              <w:rPr>
                <w:rFonts w:ascii="Times New Roman" w:hAnsi="Times New Roman" w:cs="Times New Roman"/>
                <w:sz w:val="18"/>
                <w:szCs w:val="18"/>
              </w:rPr>
              <w:t>万元</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4</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2</w:t>
            </w:r>
          </w:p>
        </w:tc>
      </w:tr>
      <w:tr w:rsidR="00403CD6">
        <w:trPr>
          <w:trHeight w:val="284"/>
        </w:trPr>
        <w:tc>
          <w:tcPr>
            <w:tcW w:w="2134"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80</w:t>
            </w:r>
            <w:r>
              <w:rPr>
                <w:rFonts w:ascii="Times New Roman" w:hAnsi="Times New Roman" w:cs="Times New Roman"/>
                <w:sz w:val="18"/>
                <w:szCs w:val="18"/>
              </w:rPr>
              <w:t>万元以下</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15</w:t>
            </w:r>
          </w:p>
        </w:tc>
        <w:tc>
          <w:tcPr>
            <w:tcW w:w="1433" w:type="pct"/>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12</w:t>
            </w:r>
          </w:p>
        </w:tc>
      </w:tr>
    </w:tbl>
    <w:p w:rsidR="00403CD6" w:rsidRDefault="00E91A59">
      <w:pPr>
        <w:autoSpaceDE w:val="0"/>
        <w:autoSpaceDN w:val="0"/>
        <w:adjustRightInd w:val="0"/>
        <w:spacing w:before="120" w:after="216"/>
        <w:ind w:firstLineChars="200" w:firstLine="360"/>
        <w:rPr>
          <w:rFonts w:ascii="Times New Roman" w:hAnsi="Times New Roman" w:cs="Times New Roman"/>
          <w:sz w:val="18"/>
          <w:szCs w:val="18"/>
        </w:rPr>
      </w:pPr>
      <w:r>
        <w:rPr>
          <w:rFonts w:ascii="宋体" w:eastAsia="宋体" w:hAnsi="宋体" w:cs="宋体" w:hint="eastAsia"/>
          <w:sz w:val="18"/>
          <w:szCs w:val="18"/>
        </w:rPr>
        <w:t>②</w:t>
      </w:r>
      <w:r>
        <w:rPr>
          <w:rFonts w:ascii="Times New Roman" w:hAnsi="Times New Roman" w:cs="Times New Roman"/>
          <w:sz w:val="18"/>
          <w:szCs w:val="18"/>
        </w:rPr>
        <w:t>关键管理人员薪酬明细</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2525"/>
        <w:gridCol w:w="1042"/>
        <w:gridCol w:w="920"/>
        <w:gridCol w:w="1188"/>
        <w:gridCol w:w="976"/>
        <w:gridCol w:w="1442"/>
        <w:gridCol w:w="633"/>
        <w:gridCol w:w="916"/>
      </w:tblGrid>
      <w:tr w:rsidR="00403CD6">
        <w:trPr>
          <w:trHeight w:val="312"/>
        </w:trPr>
        <w:tc>
          <w:tcPr>
            <w:tcW w:w="1309"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关键管理人员</w:t>
            </w:r>
          </w:p>
        </w:tc>
        <w:tc>
          <w:tcPr>
            <w:tcW w:w="3215" w:type="pct"/>
            <w:gridSpan w:val="6"/>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本年数（万元）</w:t>
            </w:r>
          </w:p>
        </w:tc>
        <w:tc>
          <w:tcPr>
            <w:tcW w:w="475"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合计（万元）</w:t>
            </w:r>
          </w:p>
        </w:tc>
      </w:tr>
      <w:tr w:rsidR="00403CD6">
        <w:trPr>
          <w:trHeight w:val="262"/>
        </w:trPr>
        <w:tc>
          <w:tcPr>
            <w:tcW w:w="1309" w:type="pct"/>
            <w:vMerge/>
          </w:tcPr>
          <w:p w:rsidR="00403CD6" w:rsidRDefault="00403CD6">
            <w:pPr>
              <w:autoSpaceDE w:val="0"/>
              <w:autoSpaceDN w:val="0"/>
              <w:adjustRightInd w:val="0"/>
              <w:rPr>
                <w:rFonts w:ascii="Times New Roman" w:hAnsi="Times New Roman" w:cs="Times New Roman"/>
                <w:sz w:val="18"/>
                <w:szCs w:val="18"/>
              </w:rPr>
            </w:pPr>
          </w:p>
        </w:tc>
        <w:tc>
          <w:tcPr>
            <w:tcW w:w="540"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proofErr w:type="gramStart"/>
            <w:r>
              <w:rPr>
                <w:rFonts w:ascii="Times New Roman" w:hAnsi="Times New Roman" w:cs="Times New Roman" w:hint="eastAsia"/>
                <w:sz w:val="18"/>
                <w:szCs w:val="18"/>
              </w:rPr>
              <w:t>袍金</w:t>
            </w:r>
            <w:proofErr w:type="gramEnd"/>
          </w:p>
        </w:tc>
        <w:tc>
          <w:tcPr>
            <w:tcW w:w="477"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r>
              <w:rPr>
                <w:rFonts w:ascii="Times New Roman" w:hAnsi="Times New Roman" w:cs="Times New Roman" w:hint="eastAsia"/>
                <w:sz w:val="18"/>
                <w:szCs w:val="18"/>
              </w:rPr>
              <w:t>奖金</w:t>
            </w:r>
          </w:p>
        </w:tc>
        <w:tc>
          <w:tcPr>
            <w:tcW w:w="616"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r>
              <w:rPr>
                <w:rFonts w:ascii="Times New Roman" w:hAnsi="Times New Roman" w:cs="Times New Roman" w:hint="eastAsia"/>
                <w:sz w:val="18"/>
                <w:szCs w:val="18"/>
              </w:rPr>
              <w:t>薪金、津贴及福利</w:t>
            </w:r>
          </w:p>
        </w:tc>
        <w:tc>
          <w:tcPr>
            <w:tcW w:w="1254" w:type="pct"/>
            <w:gridSpan w:val="2"/>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社会保险</w:t>
            </w:r>
          </w:p>
        </w:tc>
        <w:tc>
          <w:tcPr>
            <w:tcW w:w="327"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住房公积金</w:t>
            </w:r>
          </w:p>
        </w:tc>
        <w:tc>
          <w:tcPr>
            <w:tcW w:w="475" w:type="pct"/>
            <w:vMerge/>
          </w:tcPr>
          <w:p w:rsidR="00403CD6" w:rsidRDefault="00403CD6">
            <w:pPr>
              <w:autoSpaceDE w:val="0"/>
              <w:autoSpaceDN w:val="0"/>
              <w:adjustRightInd w:val="0"/>
              <w:rPr>
                <w:rFonts w:ascii="Times New Roman" w:hAnsi="Times New Roman" w:cs="Times New Roman"/>
                <w:sz w:val="18"/>
                <w:szCs w:val="18"/>
              </w:rPr>
            </w:pPr>
          </w:p>
        </w:tc>
      </w:tr>
      <w:tr w:rsidR="00403CD6">
        <w:trPr>
          <w:trHeight w:val="312"/>
        </w:trPr>
        <w:tc>
          <w:tcPr>
            <w:tcW w:w="1309" w:type="pct"/>
            <w:vMerge/>
            <w:vAlign w:val="center"/>
          </w:tcPr>
          <w:p w:rsidR="00403CD6" w:rsidRDefault="00403CD6">
            <w:pPr>
              <w:autoSpaceDE w:val="0"/>
              <w:autoSpaceDN w:val="0"/>
              <w:adjustRightInd w:val="0"/>
              <w:jc w:val="both"/>
              <w:rPr>
                <w:rFonts w:ascii="Times New Roman" w:hAnsi="Times New Roman" w:cs="Times New Roman"/>
                <w:sz w:val="18"/>
                <w:szCs w:val="18"/>
              </w:rPr>
            </w:pPr>
          </w:p>
        </w:tc>
        <w:tc>
          <w:tcPr>
            <w:tcW w:w="540"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06" w:type="pct"/>
            <w:shd w:val="clear" w:color="auto" w:fill="D9D9D9" w:themeFill="background1" w:themeFillShade="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社会保险</w:t>
            </w:r>
          </w:p>
        </w:tc>
        <w:tc>
          <w:tcPr>
            <w:tcW w:w="748" w:type="pct"/>
            <w:shd w:val="clear" w:color="auto" w:fill="D9D9D9" w:themeFill="background1" w:themeFillShade="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其中：养老保险</w:t>
            </w:r>
          </w:p>
        </w:tc>
        <w:tc>
          <w:tcPr>
            <w:tcW w:w="327"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尹美群</w:t>
            </w:r>
            <w:r>
              <w:rPr>
                <w:rFonts w:ascii="Times New Roman" w:hAnsi="Times New Roman" w:cs="Times New Roman"/>
                <w:sz w:val="18"/>
                <w:szCs w:val="18"/>
              </w:rPr>
              <w:t xml:space="preserve">                               </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杨彪</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孙剑非</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李志辉</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独立非执行董事小计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李传轩</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韩亭德</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非执行董事小计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陈洪国</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199.17</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6.78</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4.32</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1.52</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207.47</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胡长青</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159.60</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11.31</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7.05</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3.09</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174.00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李兴春</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201.00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201.00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李伟先</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150.46</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11.31</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7.05</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5.29</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167.06</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李峰</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84.64</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7.24</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4.60</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1.66</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93.54</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执行董事小计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794.87</w:t>
            </w:r>
          </w:p>
        </w:tc>
        <w:tc>
          <w:tcPr>
            <w:tcW w:w="506" w:type="pct"/>
            <w:vAlign w:val="center"/>
          </w:tcPr>
          <w:p w:rsidR="00403CD6" w:rsidRDefault="00222145">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36.64</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23.02</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11.56</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843.07</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李康</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48.05</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6.67</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4.25</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1.52</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56.24</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潘爱玲</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张宏</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c>
          <w:tcPr>
            <w:tcW w:w="506"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4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32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邱兰菊</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46.25</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6.84</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4.24</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1.72</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54.81</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桑爱玲</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19.16</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3.63</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2.25</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0.85</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23.64</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监事合计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133.46</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17.14</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10.74</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4.09</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154.69</w:t>
            </w:r>
          </w:p>
        </w:tc>
      </w:tr>
      <w:tr w:rsidR="00403CD6">
        <w:trPr>
          <w:trHeight w:val="312"/>
        </w:trPr>
        <w:tc>
          <w:tcPr>
            <w:tcW w:w="1309"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其他高级管理人员小计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452.72</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41.67</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26.17</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10.00</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504.39</w:t>
            </w:r>
          </w:p>
        </w:tc>
      </w:tr>
      <w:tr w:rsidR="00403CD6">
        <w:trPr>
          <w:trHeight w:val="312"/>
        </w:trPr>
        <w:tc>
          <w:tcPr>
            <w:tcW w:w="1309" w:type="pc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合计</w:t>
            </w: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477"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1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1,501.05</w:t>
            </w:r>
          </w:p>
        </w:tc>
        <w:tc>
          <w:tcPr>
            <w:tcW w:w="50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95.45</w:t>
            </w:r>
          </w:p>
        </w:tc>
        <w:tc>
          <w:tcPr>
            <w:tcW w:w="74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59.93</w:t>
            </w:r>
          </w:p>
        </w:tc>
        <w:tc>
          <w:tcPr>
            <w:tcW w:w="327"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25.65</w:t>
            </w:r>
          </w:p>
        </w:tc>
        <w:tc>
          <w:tcPr>
            <w:tcW w:w="475"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1,622.15</w:t>
            </w:r>
          </w:p>
        </w:tc>
      </w:tr>
    </w:tbl>
    <w:p w:rsidR="00403CD6" w:rsidRDefault="00E91A59">
      <w:pPr>
        <w:keepNext/>
        <w:keepLines/>
        <w:spacing w:before="120" w:after="120" w:line="280" w:lineRule="exact"/>
        <w:rPr>
          <w:rFonts w:ascii="Times New Roman" w:hAnsi="Times New Roman" w:cs="Times New Roman"/>
          <w:sz w:val="18"/>
          <w:szCs w:val="18"/>
        </w:rPr>
      </w:pPr>
      <w:r>
        <w:rPr>
          <w:rFonts w:ascii="Times New Roman" w:hAnsi="Times New Roman" w:cs="Times New Roman"/>
          <w:sz w:val="18"/>
          <w:szCs w:val="18"/>
        </w:rPr>
        <w:lastRenderedPageBreak/>
        <w:t>续</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1555"/>
        <w:gridCol w:w="929"/>
        <w:gridCol w:w="1042"/>
        <w:gridCol w:w="1405"/>
        <w:gridCol w:w="1174"/>
        <w:gridCol w:w="1387"/>
        <w:gridCol w:w="1039"/>
        <w:gridCol w:w="1111"/>
      </w:tblGrid>
      <w:tr w:rsidR="00403CD6">
        <w:trPr>
          <w:trHeight w:val="312"/>
        </w:trPr>
        <w:tc>
          <w:tcPr>
            <w:tcW w:w="806"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关键管理人员</w:t>
            </w:r>
          </w:p>
        </w:tc>
        <w:tc>
          <w:tcPr>
            <w:tcW w:w="3616" w:type="pct"/>
            <w:gridSpan w:val="6"/>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hint="eastAsia"/>
                <w:sz w:val="18"/>
                <w:szCs w:val="18"/>
              </w:rPr>
              <w:t>上</w:t>
            </w:r>
            <w:r>
              <w:rPr>
                <w:rFonts w:ascii="Times New Roman" w:hAnsi="Times New Roman" w:cs="Times New Roman"/>
                <w:sz w:val="18"/>
                <w:szCs w:val="18"/>
              </w:rPr>
              <w:t>年数（万元）</w:t>
            </w:r>
          </w:p>
        </w:tc>
        <w:tc>
          <w:tcPr>
            <w:tcW w:w="576"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合计（万元）</w:t>
            </w:r>
          </w:p>
        </w:tc>
      </w:tr>
      <w:tr w:rsidR="00403CD6">
        <w:trPr>
          <w:trHeight w:val="312"/>
        </w:trPr>
        <w:tc>
          <w:tcPr>
            <w:tcW w:w="806" w:type="pct"/>
            <w:vMerge/>
          </w:tcPr>
          <w:p w:rsidR="00403CD6" w:rsidRDefault="00403CD6">
            <w:pPr>
              <w:autoSpaceDE w:val="0"/>
              <w:autoSpaceDN w:val="0"/>
              <w:adjustRightInd w:val="0"/>
              <w:rPr>
                <w:rFonts w:ascii="Times New Roman" w:hAnsi="Times New Roman" w:cs="Times New Roman"/>
                <w:sz w:val="18"/>
                <w:szCs w:val="18"/>
              </w:rPr>
            </w:pPr>
          </w:p>
        </w:tc>
        <w:tc>
          <w:tcPr>
            <w:tcW w:w="481"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proofErr w:type="gramStart"/>
            <w:r>
              <w:rPr>
                <w:rFonts w:ascii="Times New Roman" w:hAnsi="Times New Roman" w:cs="Times New Roman" w:hint="eastAsia"/>
                <w:sz w:val="18"/>
                <w:szCs w:val="18"/>
              </w:rPr>
              <w:t>袍金</w:t>
            </w:r>
            <w:proofErr w:type="gramEnd"/>
          </w:p>
        </w:tc>
        <w:tc>
          <w:tcPr>
            <w:tcW w:w="540"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r>
              <w:rPr>
                <w:rFonts w:ascii="Times New Roman" w:hAnsi="Times New Roman" w:cs="Times New Roman" w:hint="eastAsia"/>
                <w:sz w:val="18"/>
                <w:szCs w:val="18"/>
              </w:rPr>
              <w:t>奖金</w:t>
            </w:r>
          </w:p>
        </w:tc>
        <w:tc>
          <w:tcPr>
            <w:tcW w:w="728" w:type="pct"/>
            <w:vMerge w:val="restart"/>
            <w:shd w:val="clear" w:color="auto" w:fill="D9D9D9"/>
            <w:vAlign w:val="center"/>
          </w:tcPr>
          <w:p w:rsidR="00403CD6" w:rsidRDefault="00E91A59">
            <w:pPr>
              <w:autoSpaceDE w:val="0"/>
              <w:autoSpaceDN w:val="0"/>
              <w:adjustRightInd w:val="0"/>
              <w:ind w:right="76"/>
              <w:jc w:val="center"/>
              <w:rPr>
                <w:rFonts w:ascii="Times New Roman" w:hAnsi="Times New Roman" w:cs="Times New Roman"/>
                <w:sz w:val="18"/>
                <w:szCs w:val="18"/>
              </w:rPr>
            </w:pPr>
            <w:r>
              <w:rPr>
                <w:rFonts w:ascii="Times New Roman" w:hAnsi="Times New Roman" w:cs="Times New Roman" w:hint="eastAsia"/>
                <w:sz w:val="18"/>
                <w:szCs w:val="18"/>
              </w:rPr>
              <w:t>薪金、津贴及福利</w:t>
            </w:r>
          </w:p>
        </w:tc>
        <w:tc>
          <w:tcPr>
            <w:tcW w:w="1328" w:type="pct"/>
            <w:gridSpan w:val="2"/>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社会保险</w:t>
            </w:r>
          </w:p>
        </w:tc>
        <w:tc>
          <w:tcPr>
            <w:tcW w:w="538" w:type="pct"/>
            <w:vMerge w:val="restar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住房公积金</w:t>
            </w:r>
          </w:p>
        </w:tc>
        <w:tc>
          <w:tcPr>
            <w:tcW w:w="576" w:type="pct"/>
            <w:vMerge/>
          </w:tcPr>
          <w:p w:rsidR="00403CD6" w:rsidRDefault="00403CD6">
            <w:pPr>
              <w:autoSpaceDE w:val="0"/>
              <w:autoSpaceDN w:val="0"/>
              <w:adjustRightInd w:val="0"/>
              <w:rPr>
                <w:rFonts w:ascii="Times New Roman" w:hAnsi="Times New Roman" w:cs="Times New Roman"/>
                <w:sz w:val="18"/>
                <w:szCs w:val="18"/>
              </w:rPr>
            </w:pPr>
          </w:p>
        </w:tc>
      </w:tr>
      <w:tr w:rsidR="00403CD6">
        <w:trPr>
          <w:trHeight w:val="312"/>
        </w:trPr>
        <w:tc>
          <w:tcPr>
            <w:tcW w:w="806" w:type="pct"/>
            <w:vMerge/>
            <w:vAlign w:val="center"/>
          </w:tcPr>
          <w:p w:rsidR="00403CD6" w:rsidRDefault="00403CD6">
            <w:pPr>
              <w:autoSpaceDE w:val="0"/>
              <w:autoSpaceDN w:val="0"/>
              <w:adjustRightInd w:val="0"/>
              <w:jc w:val="both"/>
              <w:rPr>
                <w:rFonts w:ascii="Times New Roman" w:hAnsi="Times New Roman" w:cs="Times New Roman"/>
                <w:sz w:val="18"/>
                <w:szCs w:val="18"/>
              </w:rPr>
            </w:pPr>
          </w:p>
        </w:tc>
        <w:tc>
          <w:tcPr>
            <w:tcW w:w="481"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609" w:type="pct"/>
            <w:shd w:val="clear" w:color="auto" w:fill="D9D9D9" w:themeFill="background1" w:themeFillShade="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社会保险</w:t>
            </w:r>
          </w:p>
        </w:tc>
        <w:tc>
          <w:tcPr>
            <w:tcW w:w="718" w:type="pct"/>
            <w:shd w:val="clear" w:color="auto" w:fill="D9D9D9" w:themeFill="background1" w:themeFillShade="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其中：养老保险</w:t>
            </w:r>
          </w:p>
        </w:tc>
        <w:tc>
          <w:tcPr>
            <w:tcW w:w="538"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Merge/>
            <w:vAlign w:val="center"/>
          </w:tcPr>
          <w:p w:rsidR="00403CD6" w:rsidRDefault="00403CD6">
            <w:pPr>
              <w:autoSpaceDE w:val="0"/>
              <w:autoSpaceDN w:val="0"/>
              <w:adjustRightInd w:val="0"/>
              <w:jc w:val="right"/>
              <w:rPr>
                <w:rFonts w:ascii="Times New Roman" w:hAnsi="Times New Roman" w:cs="Times New Roman"/>
                <w:sz w:val="18"/>
                <w:szCs w:val="18"/>
              </w:rPr>
            </w:pP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尹美群</w:t>
            </w:r>
            <w:r>
              <w:rPr>
                <w:rFonts w:ascii="Times New Roman" w:hAnsi="Times New Roman" w:cs="Times New Roman"/>
                <w:sz w:val="18"/>
                <w:szCs w:val="18"/>
              </w:rPr>
              <w:t xml:space="preserve">                               </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杨彪</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孙剑非</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李志辉</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独立非执行董事小计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李传轩</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韩亭德</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非执行董事小计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陈洪国</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308.90</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6.93</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4.42</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1.59</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317.42</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胡长青</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188.78</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9.93</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6.04</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2.54</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201.25</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李兴春</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420.00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420.00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李峰</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135.86</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6.93</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4.42</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1.59</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144.38</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李伟先</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216.56</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11.32</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6.79</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5.08</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232.96</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执行董事小计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1,270.10</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35.11</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21.67</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10.80</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1,316.01</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李康</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75.78</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6.93</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4.42</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1.59</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84.30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潘爱玲</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张宏</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c>
          <w:tcPr>
            <w:tcW w:w="609"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1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38"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hint="eastAsia"/>
                <w:sz w:val="18"/>
                <w:szCs w:val="18"/>
              </w:rPr>
              <w:t>10.00</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邱兰菊</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66.95</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6.46</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4.07</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1.62</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75.03</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桑爱玲</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17.60</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3.64</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2.27</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0.85</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22.09</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监事合计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180.33</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17.03</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10.76</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4.06</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201.42</w:t>
            </w:r>
          </w:p>
        </w:tc>
      </w:tr>
      <w:tr w:rsidR="00403CD6">
        <w:trPr>
          <w:trHeight w:val="312"/>
        </w:trPr>
        <w:tc>
          <w:tcPr>
            <w:tcW w:w="806" w:type="pct"/>
            <w:vAlign w:val="center"/>
          </w:tcPr>
          <w:p w:rsidR="00403CD6" w:rsidRDefault="00E91A59">
            <w:pPr>
              <w:autoSpaceDE w:val="0"/>
              <w:autoSpaceDN w:val="0"/>
              <w:adjustRightInd w:val="0"/>
              <w:jc w:val="both"/>
              <w:rPr>
                <w:rFonts w:ascii="Times New Roman" w:hAnsi="Times New Roman" w:cs="Times New Roman"/>
                <w:sz w:val="18"/>
                <w:szCs w:val="18"/>
              </w:rPr>
            </w:pPr>
            <w:r>
              <w:rPr>
                <w:rFonts w:ascii="Times New Roman" w:hAnsi="Times New Roman" w:cs="Times New Roman"/>
                <w:sz w:val="18"/>
                <w:szCs w:val="18"/>
              </w:rPr>
              <w:t>其他高级管理人员小计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674.44</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40.17</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25.47</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9.63</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724.24</w:t>
            </w:r>
          </w:p>
        </w:tc>
      </w:tr>
      <w:tr w:rsidR="00403CD6">
        <w:trPr>
          <w:trHeight w:val="312"/>
        </w:trPr>
        <w:tc>
          <w:tcPr>
            <w:tcW w:w="806" w:type="pct"/>
            <w:shd w:val="clear" w:color="auto" w:fill="D9D9D9"/>
            <w:vAlign w:val="center"/>
          </w:tcPr>
          <w:p w:rsidR="00403CD6" w:rsidRDefault="00E91A59">
            <w:pPr>
              <w:autoSpaceDE w:val="0"/>
              <w:autoSpaceDN w:val="0"/>
              <w:adjustRightInd w:val="0"/>
              <w:jc w:val="center"/>
              <w:rPr>
                <w:rFonts w:ascii="Times New Roman" w:hAnsi="Times New Roman" w:cs="Times New Roman"/>
                <w:sz w:val="18"/>
                <w:szCs w:val="18"/>
              </w:rPr>
            </w:pPr>
            <w:r>
              <w:rPr>
                <w:rFonts w:ascii="Times New Roman" w:hAnsi="Times New Roman" w:cs="Times New Roman"/>
                <w:sz w:val="18"/>
                <w:szCs w:val="18"/>
              </w:rPr>
              <w:t>合计</w:t>
            </w:r>
          </w:p>
        </w:tc>
        <w:tc>
          <w:tcPr>
            <w:tcW w:w="481"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540" w:type="pct"/>
            <w:vAlign w:val="center"/>
          </w:tcPr>
          <w:p w:rsidR="00403CD6" w:rsidRDefault="00403CD6">
            <w:pPr>
              <w:autoSpaceDE w:val="0"/>
              <w:autoSpaceDN w:val="0"/>
              <w:adjustRightInd w:val="0"/>
              <w:jc w:val="right"/>
              <w:rPr>
                <w:rFonts w:ascii="Times New Roman" w:hAnsi="Times New Roman" w:cs="Times New Roman"/>
                <w:sz w:val="18"/>
                <w:szCs w:val="18"/>
              </w:rPr>
            </w:pPr>
          </w:p>
        </w:tc>
        <w:tc>
          <w:tcPr>
            <w:tcW w:w="72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2,244.87</w:t>
            </w:r>
          </w:p>
        </w:tc>
        <w:tc>
          <w:tcPr>
            <w:tcW w:w="609"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92.31</w:t>
            </w:r>
          </w:p>
        </w:tc>
        <w:tc>
          <w:tcPr>
            <w:tcW w:w="71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57.90</w:t>
            </w:r>
          </w:p>
        </w:tc>
        <w:tc>
          <w:tcPr>
            <w:tcW w:w="538"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24.49</w:t>
            </w:r>
          </w:p>
        </w:tc>
        <w:tc>
          <w:tcPr>
            <w:tcW w:w="576" w:type="pct"/>
            <w:vAlign w:val="center"/>
          </w:tcPr>
          <w:p w:rsidR="00403CD6" w:rsidRDefault="00E91A5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2,361.67</w:t>
            </w:r>
          </w:p>
        </w:tc>
      </w:tr>
    </w:tbl>
    <w:p w:rsidR="00403CD6" w:rsidRDefault="00E91A59">
      <w:pPr>
        <w:keepNext/>
        <w:keepLines/>
        <w:spacing w:before="120" w:after="120" w:line="280" w:lineRule="exact"/>
        <w:rPr>
          <w:rFonts w:ascii="Times New Roman" w:hAnsi="Times New Roman" w:cs="Times New Roman"/>
          <w:sz w:val="18"/>
          <w:szCs w:val="18"/>
        </w:rPr>
      </w:pPr>
      <w:r>
        <w:rPr>
          <w:rFonts w:ascii="Times New Roman" w:hAnsi="Times New Roman" w:cs="Times New Roman"/>
          <w:sz w:val="18"/>
          <w:szCs w:val="18"/>
        </w:rPr>
        <w:t>注：社会保险包括基本养老保险、医疗保险、工伤保险、生育保险、失业保险。</w:t>
      </w:r>
    </w:p>
    <w:p w:rsidR="00403CD6" w:rsidRDefault="00E91A59">
      <w:pPr>
        <w:autoSpaceDE w:val="0"/>
        <w:autoSpaceDN w:val="0"/>
        <w:adjustRightInd w:val="0"/>
        <w:spacing w:before="120" w:after="216"/>
        <w:ind w:firstLineChars="200" w:firstLine="360"/>
        <w:rPr>
          <w:rFonts w:ascii="Times New Roman" w:hAnsi="Times New Roman" w:cs="Times New Roman"/>
          <w:sz w:val="18"/>
          <w:szCs w:val="18"/>
        </w:rPr>
      </w:pPr>
      <w:r>
        <w:rPr>
          <w:rFonts w:ascii="宋体" w:eastAsia="宋体" w:hAnsi="宋体" w:cs="宋体" w:hint="eastAsia"/>
          <w:sz w:val="18"/>
          <w:szCs w:val="18"/>
        </w:rPr>
        <w:t>③</w:t>
      </w:r>
      <w:r>
        <w:rPr>
          <w:rFonts w:ascii="Times New Roman" w:hAnsi="Times New Roman" w:cs="Times New Roman"/>
          <w:sz w:val="18"/>
          <w:szCs w:val="18"/>
        </w:rPr>
        <w:t>本公司年内前</w:t>
      </w:r>
      <w:r>
        <w:rPr>
          <w:rFonts w:ascii="Times New Roman" w:hAnsi="Times New Roman" w:cs="Times New Roman"/>
          <w:sz w:val="18"/>
          <w:szCs w:val="18"/>
        </w:rPr>
        <w:t>5</w:t>
      </w:r>
      <w:r>
        <w:rPr>
          <w:rFonts w:ascii="Times New Roman" w:hAnsi="Times New Roman" w:cs="Times New Roman"/>
          <w:sz w:val="18"/>
          <w:szCs w:val="18"/>
        </w:rPr>
        <w:t>名</w:t>
      </w:r>
      <w:proofErr w:type="gramStart"/>
      <w:r>
        <w:rPr>
          <w:rFonts w:ascii="Times New Roman" w:hAnsi="Times New Roman" w:cs="Times New Roman"/>
          <w:sz w:val="18"/>
          <w:szCs w:val="18"/>
        </w:rPr>
        <w:t>最</w:t>
      </w:r>
      <w:proofErr w:type="gramEnd"/>
      <w:r>
        <w:rPr>
          <w:rFonts w:ascii="Times New Roman" w:hAnsi="Times New Roman" w:cs="Times New Roman"/>
          <w:sz w:val="18"/>
          <w:szCs w:val="18"/>
        </w:rPr>
        <w:t>高薪</w:t>
      </w:r>
      <w:proofErr w:type="gramStart"/>
      <w:r>
        <w:rPr>
          <w:rFonts w:ascii="Times New Roman" w:hAnsi="Times New Roman" w:cs="Times New Roman"/>
          <w:sz w:val="18"/>
          <w:szCs w:val="18"/>
        </w:rPr>
        <w:t>酬</w:t>
      </w:r>
      <w:proofErr w:type="gramEnd"/>
      <w:r>
        <w:rPr>
          <w:rFonts w:ascii="Times New Roman" w:hAnsi="Times New Roman" w:cs="Times New Roman"/>
          <w:sz w:val="18"/>
          <w:szCs w:val="18"/>
        </w:rPr>
        <w:t>个人包括本公司董事</w:t>
      </w:r>
      <w:r>
        <w:rPr>
          <w:rFonts w:ascii="Times New Roman" w:hAnsi="Times New Roman" w:cs="Times New Roman" w:hint="eastAsia"/>
          <w:sz w:val="18"/>
          <w:szCs w:val="18"/>
        </w:rPr>
        <w:t>4</w:t>
      </w:r>
      <w:r>
        <w:rPr>
          <w:rFonts w:ascii="Times New Roman" w:hAnsi="Times New Roman" w:cs="Times New Roman"/>
          <w:sz w:val="18"/>
          <w:szCs w:val="18"/>
        </w:rPr>
        <w:t>名和其他高级管理人员</w:t>
      </w:r>
      <w:r>
        <w:rPr>
          <w:rFonts w:ascii="Times New Roman" w:hAnsi="Times New Roman" w:cs="Times New Roman" w:hint="eastAsia"/>
          <w:sz w:val="18"/>
          <w:szCs w:val="18"/>
        </w:rPr>
        <w:t>1</w:t>
      </w:r>
      <w:r>
        <w:rPr>
          <w:rFonts w:ascii="Times New Roman" w:hAnsi="Times New Roman" w:cs="Times New Roman"/>
          <w:sz w:val="18"/>
          <w:szCs w:val="18"/>
        </w:rPr>
        <w:t>名，</w:t>
      </w:r>
      <w:r>
        <w:rPr>
          <w:rFonts w:ascii="Times New Roman" w:hAnsi="Times New Roman" w:cs="Times New Roman" w:hint="eastAsia"/>
          <w:sz w:val="18"/>
          <w:szCs w:val="18"/>
        </w:rPr>
        <w:t>1</w:t>
      </w:r>
      <w:r>
        <w:rPr>
          <w:rFonts w:ascii="Times New Roman" w:hAnsi="Times New Roman" w:cs="Times New Roman"/>
          <w:sz w:val="18"/>
          <w:szCs w:val="18"/>
        </w:rPr>
        <w:t>名高级管理人员的薪酬区间为</w:t>
      </w:r>
      <w:r>
        <w:rPr>
          <w:rFonts w:ascii="Times New Roman" w:hAnsi="Times New Roman" w:cs="Times New Roman" w:hint="eastAsia"/>
          <w:sz w:val="18"/>
          <w:szCs w:val="18"/>
        </w:rPr>
        <w:t>80</w:t>
      </w:r>
      <w:r>
        <w:rPr>
          <w:rFonts w:ascii="Times New Roman" w:hAnsi="Times New Roman" w:cs="Times New Roman"/>
          <w:sz w:val="18"/>
          <w:szCs w:val="18"/>
        </w:rPr>
        <w:t>～</w:t>
      </w:r>
      <w:r>
        <w:rPr>
          <w:rFonts w:ascii="Times New Roman" w:hAnsi="Times New Roman" w:cs="Times New Roman" w:hint="eastAsia"/>
          <w:sz w:val="18"/>
          <w:szCs w:val="18"/>
        </w:rPr>
        <w:t>120</w:t>
      </w:r>
      <w:r>
        <w:rPr>
          <w:rFonts w:ascii="Times New Roman" w:hAnsi="Times New Roman" w:cs="Times New Roman"/>
          <w:sz w:val="18"/>
          <w:szCs w:val="18"/>
        </w:rPr>
        <w:t>万元，年薪为</w:t>
      </w:r>
      <w:r>
        <w:rPr>
          <w:rFonts w:ascii="Times New Roman" w:hAnsi="Times New Roman" w:cs="Times New Roman"/>
          <w:sz w:val="18"/>
          <w:szCs w:val="18"/>
        </w:rPr>
        <w:t>114.98</w:t>
      </w:r>
      <w:r>
        <w:rPr>
          <w:rFonts w:ascii="Times New Roman" w:hAnsi="Times New Roman" w:cs="Times New Roman"/>
          <w:sz w:val="18"/>
          <w:szCs w:val="18"/>
        </w:rPr>
        <w:t>万元，</w:t>
      </w:r>
      <w:r>
        <w:rPr>
          <w:rFonts w:ascii="Times New Roman" w:hAnsi="Times New Roman" w:cs="Times New Roman" w:hint="eastAsia"/>
          <w:sz w:val="18"/>
          <w:szCs w:val="18"/>
        </w:rPr>
        <w:t>其中：薪金、津贴及福利为</w:t>
      </w:r>
      <w:r>
        <w:rPr>
          <w:rFonts w:ascii="Times New Roman" w:hAnsi="Times New Roman" w:cs="Times New Roman" w:hint="eastAsia"/>
          <w:sz w:val="18"/>
          <w:szCs w:val="18"/>
        </w:rPr>
        <w:t>106.08</w:t>
      </w:r>
      <w:r>
        <w:rPr>
          <w:rFonts w:ascii="Times New Roman" w:hAnsi="Times New Roman" w:cs="Times New Roman" w:hint="eastAsia"/>
          <w:sz w:val="18"/>
          <w:szCs w:val="18"/>
        </w:rPr>
        <w:t>万元，</w:t>
      </w:r>
      <w:r>
        <w:rPr>
          <w:rFonts w:ascii="Times New Roman" w:hAnsi="Times New Roman" w:cs="Times New Roman"/>
          <w:sz w:val="18"/>
          <w:szCs w:val="18"/>
        </w:rPr>
        <w:t>社会保险为</w:t>
      </w:r>
      <w:r>
        <w:rPr>
          <w:rFonts w:ascii="Times New Roman" w:hAnsi="Times New Roman" w:cs="Times New Roman"/>
          <w:sz w:val="18"/>
          <w:szCs w:val="18"/>
        </w:rPr>
        <w:t>7.24</w:t>
      </w:r>
      <w:r>
        <w:rPr>
          <w:rFonts w:ascii="Times New Roman" w:hAnsi="Times New Roman" w:cs="Times New Roman"/>
          <w:sz w:val="18"/>
          <w:szCs w:val="18"/>
        </w:rPr>
        <w:t>万元</w:t>
      </w:r>
      <w:r>
        <w:rPr>
          <w:rFonts w:ascii="Times New Roman" w:hAnsi="Times New Roman" w:cs="Times New Roman" w:hint="eastAsia"/>
          <w:sz w:val="18"/>
          <w:szCs w:val="18"/>
        </w:rPr>
        <w:t>（其中，养老保险为</w:t>
      </w:r>
      <w:r>
        <w:rPr>
          <w:rFonts w:ascii="Times New Roman" w:hAnsi="Times New Roman" w:cs="Times New Roman"/>
          <w:sz w:val="18"/>
          <w:szCs w:val="18"/>
        </w:rPr>
        <w:t>4.60</w:t>
      </w:r>
      <w:r>
        <w:rPr>
          <w:rFonts w:ascii="Times New Roman" w:hAnsi="Times New Roman" w:cs="Times New Roman" w:hint="eastAsia"/>
          <w:sz w:val="18"/>
          <w:szCs w:val="18"/>
        </w:rPr>
        <w:t>万元）</w:t>
      </w:r>
      <w:r>
        <w:rPr>
          <w:rFonts w:ascii="Times New Roman" w:hAnsi="Times New Roman" w:cs="Times New Roman"/>
          <w:sz w:val="18"/>
          <w:szCs w:val="18"/>
        </w:rPr>
        <w:t>，住房公积金为</w:t>
      </w:r>
      <w:r>
        <w:rPr>
          <w:rFonts w:ascii="Times New Roman" w:hAnsi="Times New Roman" w:cs="Times New Roman"/>
          <w:sz w:val="18"/>
          <w:szCs w:val="18"/>
        </w:rPr>
        <w:t>1.66</w:t>
      </w:r>
      <w:r>
        <w:rPr>
          <w:rFonts w:ascii="Times New Roman" w:hAnsi="Times New Roman" w:cs="Times New Roman"/>
          <w:sz w:val="18"/>
          <w:szCs w:val="18"/>
        </w:rPr>
        <w:t>万元。</w:t>
      </w:r>
    </w:p>
    <w:p w:rsidR="00403CD6" w:rsidRDefault="00E91A59">
      <w:pPr>
        <w:autoSpaceDE w:val="0"/>
        <w:autoSpaceDN w:val="0"/>
        <w:adjustRightInd w:val="0"/>
        <w:spacing w:before="120" w:after="216"/>
        <w:rPr>
          <w:rFonts w:ascii="Times New Roman" w:hAnsi="Times New Roman" w:cs="Times New Roman"/>
          <w:sz w:val="18"/>
          <w:szCs w:val="18"/>
        </w:rPr>
      </w:pPr>
      <w:r>
        <w:rPr>
          <w:rFonts w:ascii="Times New Roman" w:hAnsi="Times New Roman" w:cs="Times New Roman"/>
          <w:sz w:val="18"/>
          <w:szCs w:val="18"/>
        </w:rPr>
        <w:t>A.</w:t>
      </w:r>
      <w:r>
        <w:rPr>
          <w:rFonts w:ascii="Times New Roman" w:hAnsi="Times New Roman" w:cs="Times New Roman"/>
          <w:sz w:val="18"/>
          <w:szCs w:val="18"/>
        </w:rPr>
        <w:t>前</w:t>
      </w:r>
      <w:r>
        <w:rPr>
          <w:rFonts w:ascii="Times New Roman" w:hAnsi="Times New Roman" w:cs="Times New Roman"/>
          <w:sz w:val="18"/>
          <w:szCs w:val="18"/>
        </w:rPr>
        <w:t>5</w:t>
      </w:r>
      <w:r>
        <w:rPr>
          <w:rFonts w:ascii="Times New Roman" w:hAnsi="Times New Roman" w:cs="Times New Roman"/>
          <w:sz w:val="18"/>
          <w:szCs w:val="18"/>
        </w:rPr>
        <w:t>名管理人员薪酬</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4121"/>
        <w:gridCol w:w="2768"/>
        <w:gridCol w:w="2768"/>
      </w:tblGrid>
      <w:tr w:rsidR="00403CD6">
        <w:tc>
          <w:tcPr>
            <w:tcW w:w="2134" w:type="pct"/>
            <w:shd w:val="clear" w:color="auto" w:fill="D9D9D9"/>
          </w:tcPr>
          <w:p w:rsidR="00403CD6" w:rsidRDefault="00E91A59">
            <w:pPr>
              <w:autoSpaceDE w:val="0"/>
              <w:autoSpaceDN w:val="0"/>
              <w:adjustRightInd w:val="0"/>
              <w:spacing w:before="24" w:after="24"/>
              <w:jc w:val="center"/>
              <w:rPr>
                <w:rFonts w:ascii="Times New Roman" w:hAnsi="Times New Roman" w:cs="Times New Roman"/>
                <w:sz w:val="18"/>
                <w:szCs w:val="18"/>
              </w:rPr>
            </w:pPr>
            <w:r>
              <w:rPr>
                <w:rFonts w:ascii="Times New Roman" w:hAnsi="Times New Roman" w:cs="Times New Roman"/>
                <w:sz w:val="18"/>
                <w:szCs w:val="18"/>
              </w:rPr>
              <w:t>项目</w:t>
            </w:r>
          </w:p>
        </w:tc>
        <w:tc>
          <w:tcPr>
            <w:tcW w:w="1433" w:type="pct"/>
            <w:shd w:val="clear" w:color="auto" w:fill="D9D9D9"/>
          </w:tcPr>
          <w:p w:rsidR="00403CD6" w:rsidRDefault="00E91A59">
            <w:pPr>
              <w:autoSpaceDE w:val="0"/>
              <w:autoSpaceDN w:val="0"/>
              <w:adjustRightInd w:val="0"/>
              <w:spacing w:before="24" w:after="24"/>
              <w:jc w:val="center"/>
              <w:rPr>
                <w:rFonts w:asciiTheme="minorEastAsia" w:hAnsiTheme="minorEastAsia" w:cs="Times New Roman"/>
                <w:sz w:val="18"/>
                <w:szCs w:val="18"/>
              </w:rPr>
            </w:pPr>
            <w:r>
              <w:rPr>
                <w:rFonts w:asciiTheme="minorEastAsia" w:hAnsiTheme="minorEastAsia" w:cs="Times New Roman"/>
                <w:sz w:val="18"/>
                <w:szCs w:val="18"/>
              </w:rPr>
              <w:t>本期数(万元)</w:t>
            </w:r>
          </w:p>
        </w:tc>
        <w:tc>
          <w:tcPr>
            <w:tcW w:w="1433" w:type="pct"/>
            <w:shd w:val="clear" w:color="auto" w:fill="D9D9D9"/>
          </w:tcPr>
          <w:p w:rsidR="00403CD6" w:rsidRDefault="00E91A59">
            <w:pPr>
              <w:autoSpaceDE w:val="0"/>
              <w:autoSpaceDN w:val="0"/>
              <w:adjustRightInd w:val="0"/>
              <w:spacing w:before="24" w:after="24"/>
              <w:jc w:val="center"/>
              <w:rPr>
                <w:rFonts w:asciiTheme="minorEastAsia" w:hAnsiTheme="minorEastAsia" w:cs="Times New Roman"/>
                <w:sz w:val="18"/>
                <w:szCs w:val="18"/>
              </w:rPr>
            </w:pPr>
            <w:r>
              <w:rPr>
                <w:rFonts w:asciiTheme="minorEastAsia" w:hAnsiTheme="minorEastAsia" w:cs="Times New Roman"/>
                <w:sz w:val="18"/>
                <w:szCs w:val="18"/>
              </w:rPr>
              <w:t>上期数(万元)</w:t>
            </w:r>
          </w:p>
        </w:tc>
      </w:tr>
      <w:tr w:rsidR="00403CD6">
        <w:tc>
          <w:tcPr>
            <w:tcW w:w="2134" w:type="pct"/>
          </w:tcPr>
          <w:p w:rsidR="00403CD6" w:rsidRDefault="00E91A59">
            <w:pPr>
              <w:autoSpaceDE w:val="0"/>
              <w:autoSpaceDN w:val="0"/>
              <w:adjustRightInd w:val="0"/>
              <w:spacing w:before="24" w:after="24"/>
              <w:rPr>
                <w:rFonts w:ascii="Times New Roman" w:hAnsi="Times New Roman" w:cs="Times New Roman"/>
                <w:sz w:val="18"/>
                <w:szCs w:val="18"/>
              </w:rPr>
            </w:pPr>
            <w:r>
              <w:rPr>
                <w:rFonts w:ascii="Times New Roman" w:hAnsi="Times New Roman" w:cs="Times New Roman" w:hint="eastAsia"/>
                <w:sz w:val="18"/>
                <w:szCs w:val="18"/>
              </w:rPr>
              <w:t>薪金、津贴及福利</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816.31</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1,295.83</w:t>
            </w:r>
          </w:p>
        </w:tc>
      </w:tr>
      <w:tr w:rsidR="00403CD6">
        <w:tc>
          <w:tcPr>
            <w:tcW w:w="2134" w:type="pct"/>
          </w:tcPr>
          <w:p w:rsidR="00403CD6" w:rsidRDefault="00E91A59">
            <w:pPr>
              <w:autoSpaceDE w:val="0"/>
              <w:autoSpaceDN w:val="0"/>
              <w:adjustRightInd w:val="0"/>
              <w:spacing w:before="24" w:after="24"/>
              <w:rPr>
                <w:rFonts w:ascii="Times New Roman" w:hAnsi="Times New Roman" w:cs="Times New Roman"/>
                <w:sz w:val="18"/>
                <w:szCs w:val="18"/>
              </w:rPr>
            </w:pPr>
            <w:r>
              <w:rPr>
                <w:rFonts w:ascii="Times New Roman" w:hAnsi="Times New Roman" w:cs="Times New Roman"/>
                <w:sz w:val="18"/>
                <w:szCs w:val="18"/>
              </w:rPr>
              <w:t>住房公积金</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11.56</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10.83</w:t>
            </w:r>
          </w:p>
        </w:tc>
      </w:tr>
      <w:tr w:rsidR="00403CD6">
        <w:tc>
          <w:tcPr>
            <w:tcW w:w="2134" w:type="pct"/>
          </w:tcPr>
          <w:p w:rsidR="00403CD6" w:rsidRDefault="00E91A59">
            <w:pPr>
              <w:autoSpaceDE w:val="0"/>
              <w:autoSpaceDN w:val="0"/>
              <w:adjustRightInd w:val="0"/>
              <w:spacing w:before="24" w:after="24"/>
              <w:rPr>
                <w:rFonts w:ascii="Times New Roman" w:hAnsi="Times New Roman" w:cs="Times New Roman"/>
                <w:sz w:val="18"/>
                <w:szCs w:val="18"/>
              </w:rPr>
            </w:pPr>
            <w:r>
              <w:rPr>
                <w:rFonts w:ascii="Times New Roman" w:hAnsi="Times New Roman" w:cs="Times New Roman"/>
                <w:sz w:val="18"/>
                <w:szCs w:val="18"/>
              </w:rPr>
              <w:t>社会保险</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hint="eastAsia"/>
                <w:sz w:val="18"/>
                <w:szCs w:val="18"/>
              </w:rPr>
              <w:t>36.64</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34.64</w:t>
            </w:r>
          </w:p>
        </w:tc>
      </w:tr>
      <w:tr w:rsidR="00403CD6">
        <w:tc>
          <w:tcPr>
            <w:tcW w:w="2134" w:type="pct"/>
          </w:tcPr>
          <w:p w:rsidR="00403CD6" w:rsidRDefault="00E91A59">
            <w:pPr>
              <w:autoSpaceDE w:val="0"/>
              <w:autoSpaceDN w:val="0"/>
              <w:adjustRightInd w:val="0"/>
              <w:spacing w:before="24" w:after="24"/>
              <w:ind w:firstLineChars="200" w:firstLine="360"/>
              <w:rPr>
                <w:rFonts w:ascii="Times New Roman" w:hAnsi="Times New Roman" w:cs="Times New Roman"/>
                <w:sz w:val="18"/>
                <w:szCs w:val="18"/>
              </w:rPr>
            </w:pPr>
            <w:r>
              <w:rPr>
                <w:rFonts w:ascii="Times New Roman" w:hAnsi="Times New Roman" w:cs="Times New Roman"/>
                <w:sz w:val="18"/>
                <w:szCs w:val="18"/>
              </w:rPr>
              <w:t>其中：养老保险</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23.02</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21.32</w:t>
            </w:r>
          </w:p>
        </w:tc>
      </w:tr>
      <w:tr w:rsidR="00403CD6">
        <w:tc>
          <w:tcPr>
            <w:tcW w:w="2134" w:type="pct"/>
            <w:shd w:val="clear" w:color="auto" w:fill="D9D9D9"/>
          </w:tcPr>
          <w:p w:rsidR="00403CD6" w:rsidRDefault="00E91A59">
            <w:pPr>
              <w:autoSpaceDE w:val="0"/>
              <w:autoSpaceDN w:val="0"/>
              <w:adjustRightInd w:val="0"/>
              <w:spacing w:before="24" w:after="24"/>
              <w:jc w:val="center"/>
              <w:rPr>
                <w:rFonts w:ascii="Times New Roman" w:hAnsi="Times New Roman" w:cs="Times New Roman"/>
                <w:sz w:val="18"/>
                <w:szCs w:val="18"/>
              </w:rPr>
            </w:pPr>
            <w:r>
              <w:rPr>
                <w:rFonts w:ascii="Times New Roman" w:hAnsi="Times New Roman" w:cs="Times New Roman"/>
                <w:sz w:val="18"/>
                <w:szCs w:val="18"/>
              </w:rPr>
              <w:t>合计</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864.51</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sz w:val="18"/>
                <w:szCs w:val="18"/>
              </w:rPr>
              <w:t>1,341.30</w:t>
            </w:r>
          </w:p>
        </w:tc>
      </w:tr>
    </w:tbl>
    <w:p w:rsidR="00403CD6" w:rsidRDefault="00E91A59">
      <w:pPr>
        <w:autoSpaceDE w:val="0"/>
        <w:autoSpaceDN w:val="0"/>
        <w:adjustRightInd w:val="0"/>
        <w:spacing w:before="120" w:after="216"/>
        <w:rPr>
          <w:rFonts w:ascii="Times New Roman" w:hAnsi="Times New Roman" w:cs="Times New Roman"/>
          <w:sz w:val="18"/>
          <w:szCs w:val="18"/>
        </w:rPr>
      </w:pPr>
      <w:r>
        <w:rPr>
          <w:rFonts w:ascii="Times New Roman" w:hAnsi="Times New Roman" w:cs="Times New Roman"/>
          <w:sz w:val="18"/>
          <w:szCs w:val="18"/>
        </w:rPr>
        <w:t>B.</w:t>
      </w:r>
      <w:r>
        <w:rPr>
          <w:rFonts w:ascii="Times New Roman" w:hAnsi="Times New Roman" w:cs="Times New Roman"/>
          <w:sz w:val="18"/>
          <w:szCs w:val="18"/>
        </w:rPr>
        <w:t>前</w:t>
      </w:r>
      <w:r>
        <w:rPr>
          <w:rFonts w:ascii="Times New Roman" w:hAnsi="Times New Roman" w:cs="Times New Roman"/>
          <w:sz w:val="18"/>
          <w:szCs w:val="18"/>
        </w:rPr>
        <w:t>5</w:t>
      </w:r>
      <w:r>
        <w:rPr>
          <w:rFonts w:ascii="Times New Roman" w:hAnsi="Times New Roman" w:cs="Times New Roman"/>
          <w:sz w:val="18"/>
          <w:szCs w:val="18"/>
        </w:rPr>
        <w:t>名管理人员薪酬分布区间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 w:type="dxa"/>
          <w:left w:w="10" w:type="dxa"/>
          <w:bottom w:w="10" w:type="dxa"/>
          <w:right w:w="10" w:type="dxa"/>
        </w:tblCellMar>
        <w:tblLook w:val="04A0" w:firstRow="1" w:lastRow="0" w:firstColumn="1" w:lastColumn="0" w:noHBand="0" w:noVBand="1"/>
      </w:tblPr>
      <w:tblGrid>
        <w:gridCol w:w="4121"/>
        <w:gridCol w:w="2768"/>
        <w:gridCol w:w="2768"/>
      </w:tblGrid>
      <w:tr w:rsidR="00403CD6">
        <w:trPr>
          <w:trHeight w:val="284"/>
        </w:trPr>
        <w:tc>
          <w:tcPr>
            <w:tcW w:w="2134" w:type="pct"/>
            <w:shd w:val="clear" w:color="auto" w:fill="D9D9D9"/>
          </w:tcPr>
          <w:p w:rsidR="00403CD6" w:rsidRDefault="00E91A59">
            <w:pPr>
              <w:autoSpaceDE w:val="0"/>
              <w:autoSpaceDN w:val="0"/>
              <w:adjustRightInd w:val="0"/>
              <w:spacing w:before="24" w:after="24"/>
              <w:jc w:val="center"/>
              <w:rPr>
                <w:rFonts w:ascii="Times New Roman" w:hAnsi="Times New Roman" w:cs="Times New Roman"/>
                <w:sz w:val="18"/>
                <w:szCs w:val="18"/>
              </w:rPr>
            </w:pPr>
            <w:r>
              <w:rPr>
                <w:rFonts w:ascii="Times New Roman" w:hAnsi="Times New Roman" w:cs="Times New Roman"/>
                <w:sz w:val="18"/>
                <w:szCs w:val="18"/>
              </w:rPr>
              <w:lastRenderedPageBreak/>
              <w:t>年度薪酬区间</w:t>
            </w:r>
          </w:p>
        </w:tc>
        <w:tc>
          <w:tcPr>
            <w:tcW w:w="1433" w:type="pct"/>
            <w:shd w:val="clear" w:color="auto" w:fill="D9D9D9"/>
          </w:tcPr>
          <w:p w:rsidR="00403CD6" w:rsidRDefault="00E91A59">
            <w:pPr>
              <w:autoSpaceDE w:val="0"/>
              <w:autoSpaceDN w:val="0"/>
              <w:adjustRightInd w:val="0"/>
              <w:spacing w:before="24" w:after="24"/>
              <w:jc w:val="center"/>
              <w:rPr>
                <w:rFonts w:asciiTheme="minorEastAsia" w:hAnsiTheme="minorEastAsia" w:cs="Times New Roman"/>
                <w:sz w:val="18"/>
                <w:szCs w:val="18"/>
              </w:rPr>
            </w:pPr>
            <w:r>
              <w:rPr>
                <w:rFonts w:asciiTheme="minorEastAsia" w:hAnsiTheme="minorEastAsia" w:cs="Times New Roman"/>
                <w:sz w:val="18"/>
                <w:szCs w:val="18"/>
              </w:rPr>
              <w:t>本年数(人)</w:t>
            </w:r>
          </w:p>
        </w:tc>
        <w:tc>
          <w:tcPr>
            <w:tcW w:w="1433" w:type="pct"/>
            <w:shd w:val="clear" w:color="auto" w:fill="D9D9D9"/>
          </w:tcPr>
          <w:p w:rsidR="00403CD6" w:rsidRDefault="00E91A59">
            <w:pPr>
              <w:autoSpaceDE w:val="0"/>
              <w:autoSpaceDN w:val="0"/>
              <w:adjustRightInd w:val="0"/>
              <w:spacing w:before="24" w:after="24"/>
              <w:jc w:val="center"/>
              <w:rPr>
                <w:rFonts w:asciiTheme="minorEastAsia" w:hAnsiTheme="minorEastAsia" w:cs="Times New Roman"/>
                <w:sz w:val="18"/>
                <w:szCs w:val="18"/>
              </w:rPr>
            </w:pPr>
            <w:r>
              <w:rPr>
                <w:rFonts w:asciiTheme="minorEastAsia" w:hAnsiTheme="minorEastAsia" w:cs="Times New Roman"/>
                <w:sz w:val="18"/>
                <w:szCs w:val="18"/>
              </w:rPr>
              <w:t>上年数(人)</w:t>
            </w:r>
          </w:p>
        </w:tc>
      </w:tr>
      <w:tr w:rsidR="00403CD6">
        <w:trPr>
          <w:trHeight w:val="284"/>
        </w:trPr>
        <w:tc>
          <w:tcPr>
            <w:tcW w:w="2134" w:type="pct"/>
          </w:tcPr>
          <w:p w:rsidR="00403CD6" w:rsidRDefault="00E91A59">
            <w:pPr>
              <w:tabs>
                <w:tab w:val="left" w:pos="1680"/>
              </w:tabs>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400</w:t>
            </w:r>
            <w:r>
              <w:rPr>
                <w:rFonts w:ascii="Times New Roman" w:hAnsi="Times New Roman" w:cs="Times New Roman"/>
                <w:sz w:val="18"/>
                <w:szCs w:val="18"/>
              </w:rPr>
              <w:t>～</w:t>
            </w:r>
            <w:r>
              <w:rPr>
                <w:rFonts w:ascii="Times New Roman" w:hAnsi="Times New Roman" w:cs="Times New Roman"/>
                <w:sz w:val="18"/>
                <w:szCs w:val="18"/>
              </w:rPr>
              <w:t>480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spacing w:before="24" w:after="24"/>
              <w:jc w:val="right"/>
              <w:rPr>
                <w:rFonts w:ascii="Times New Roman" w:hAnsi="Times New Roman" w:cs="Times New Roman"/>
                <w:sz w:val="18"/>
                <w:szCs w:val="18"/>
              </w:rPr>
            </w:pPr>
          </w:p>
        </w:tc>
        <w:tc>
          <w:tcPr>
            <w:tcW w:w="1433"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hint="eastAsia"/>
                <w:sz w:val="18"/>
                <w:szCs w:val="18"/>
              </w:rPr>
              <w:t>1</w:t>
            </w:r>
          </w:p>
        </w:tc>
      </w:tr>
      <w:tr w:rsidR="00403CD6">
        <w:trPr>
          <w:trHeight w:val="284"/>
        </w:trPr>
        <w:tc>
          <w:tcPr>
            <w:tcW w:w="2134" w:type="pct"/>
          </w:tcPr>
          <w:p w:rsidR="00403CD6" w:rsidRDefault="00E91A59">
            <w:pPr>
              <w:tabs>
                <w:tab w:val="left" w:pos="1680"/>
              </w:tabs>
              <w:autoSpaceDE w:val="0"/>
              <w:autoSpaceDN w:val="0"/>
              <w:adjustRightInd w:val="0"/>
              <w:rPr>
                <w:rFonts w:ascii="Times New Roman" w:eastAsia="宋体" w:hAnsi="Times New Roman" w:cs="Times New Roman"/>
                <w:color w:val="000000"/>
                <w:kern w:val="0"/>
                <w:sz w:val="18"/>
                <w:szCs w:val="18"/>
              </w:rPr>
            </w:pPr>
            <w:r>
              <w:rPr>
                <w:rFonts w:ascii="Times New Roman" w:hAnsi="Times New Roman" w:cs="Times New Roman"/>
                <w:sz w:val="18"/>
                <w:szCs w:val="18"/>
              </w:rPr>
              <w:t>320</w:t>
            </w:r>
            <w:r>
              <w:rPr>
                <w:rFonts w:ascii="Times New Roman" w:hAnsi="Times New Roman" w:cs="Times New Roman"/>
                <w:sz w:val="18"/>
                <w:szCs w:val="18"/>
              </w:rPr>
              <w:t>～</w:t>
            </w:r>
            <w:r>
              <w:rPr>
                <w:rFonts w:ascii="Times New Roman" w:hAnsi="Times New Roman" w:cs="Times New Roman"/>
                <w:sz w:val="18"/>
                <w:szCs w:val="18"/>
              </w:rPr>
              <w:t>360</w:t>
            </w:r>
            <w:r>
              <w:rPr>
                <w:rFonts w:ascii="Times New Roman" w:hAnsi="Times New Roman" w:cs="Times New Roman"/>
                <w:sz w:val="18"/>
                <w:szCs w:val="18"/>
              </w:rPr>
              <w:t>万元</w:t>
            </w:r>
            <w:r>
              <w:rPr>
                <w:rFonts w:ascii="Times New Roman" w:hAnsi="Times New Roman" w:cs="Times New Roman"/>
                <w:sz w:val="18"/>
                <w:szCs w:val="18"/>
              </w:rPr>
              <w:tab/>
            </w:r>
          </w:p>
        </w:tc>
        <w:tc>
          <w:tcPr>
            <w:tcW w:w="1433" w:type="pct"/>
            <w:vAlign w:val="center"/>
          </w:tcPr>
          <w:p w:rsidR="00403CD6" w:rsidRDefault="00403CD6">
            <w:pPr>
              <w:autoSpaceDE w:val="0"/>
              <w:autoSpaceDN w:val="0"/>
              <w:adjustRightInd w:val="0"/>
              <w:spacing w:before="24" w:after="24"/>
              <w:jc w:val="right"/>
              <w:rPr>
                <w:rFonts w:ascii="Times New Roman" w:hAnsi="Times New Roman" w:cs="Times New Roman"/>
                <w:sz w:val="18"/>
                <w:szCs w:val="18"/>
              </w:rPr>
            </w:pPr>
          </w:p>
        </w:tc>
        <w:tc>
          <w:tcPr>
            <w:tcW w:w="1433" w:type="pct"/>
            <w:vAlign w:val="center"/>
          </w:tcPr>
          <w:p w:rsidR="00403CD6" w:rsidRDefault="00403CD6">
            <w:pPr>
              <w:jc w:val="right"/>
              <w:rPr>
                <w:rFonts w:ascii="Times New Roman" w:hAnsi="Times New Roman" w:cs="Times New Roman"/>
              </w:rPr>
            </w:pP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280</w:t>
            </w:r>
            <w:r>
              <w:rPr>
                <w:rFonts w:ascii="Times New Roman" w:hAnsi="Times New Roman" w:cs="Times New Roman"/>
                <w:sz w:val="18"/>
                <w:szCs w:val="18"/>
              </w:rPr>
              <w:t>～</w:t>
            </w:r>
            <w:r>
              <w:rPr>
                <w:rFonts w:ascii="Times New Roman" w:hAnsi="Times New Roman" w:cs="Times New Roman"/>
                <w:sz w:val="18"/>
                <w:szCs w:val="18"/>
              </w:rPr>
              <w:t>320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spacing w:before="24" w:after="24"/>
              <w:jc w:val="right"/>
              <w:rPr>
                <w:rFonts w:ascii="Times New Roman" w:hAnsi="Times New Roman" w:cs="Times New Roman"/>
                <w:sz w:val="18"/>
                <w:szCs w:val="18"/>
              </w:rPr>
            </w:pPr>
          </w:p>
        </w:tc>
        <w:tc>
          <w:tcPr>
            <w:tcW w:w="1433" w:type="pct"/>
            <w:vAlign w:val="center"/>
          </w:tcPr>
          <w:p w:rsidR="00403CD6" w:rsidRDefault="00E91A59">
            <w:pPr>
              <w:jc w:val="right"/>
              <w:rPr>
                <w:rFonts w:ascii="Times New Roman" w:hAnsi="Times New Roman" w:cs="Times New Roman"/>
              </w:rPr>
            </w:pPr>
            <w:r>
              <w:rPr>
                <w:rFonts w:ascii="Times New Roman" w:hAnsi="Times New Roman" w:cs="Times New Roman" w:hint="eastAsia"/>
                <w:sz w:val="18"/>
                <w:szCs w:val="18"/>
              </w:rPr>
              <w:t>1</w:t>
            </w: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240</w:t>
            </w:r>
            <w:r>
              <w:rPr>
                <w:rFonts w:ascii="Times New Roman" w:hAnsi="Times New Roman" w:cs="Times New Roman"/>
                <w:sz w:val="18"/>
                <w:szCs w:val="18"/>
              </w:rPr>
              <w:t>～</w:t>
            </w:r>
            <w:r>
              <w:rPr>
                <w:rFonts w:ascii="Times New Roman" w:hAnsi="Times New Roman" w:cs="Times New Roman"/>
                <w:sz w:val="18"/>
                <w:szCs w:val="18"/>
              </w:rPr>
              <w:t>280</w:t>
            </w:r>
            <w:r>
              <w:rPr>
                <w:rFonts w:ascii="Times New Roman" w:hAnsi="Times New Roman" w:cs="Times New Roman"/>
                <w:sz w:val="18"/>
                <w:szCs w:val="18"/>
              </w:rPr>
              <w:t>万元</w:t>
            </w:r>
          </w:p>
        </w:tc>
        <w:tc>
          <w:tcPr>
            <w:tcW w:w="1433" w:type="pct"/>
            <w:vAlign w:val="center"/>
          </w:tcPr>
          <w:p w:rsidR="00403CD6" w:rsidRDefault="00403CD6">
            <w:pPr>
              <w:autoSpaceDE w:val="0"/>
              <w:autoSpaceDN w:val="0"/>
              <w:adjustRightInd w:val="0"/>
              <w:spacing w:before="24" w:after="24"/>
              <w:jc w:val="right"/>
              <w:rPr>
                <w:rFonts w:ascii="Times New Roman" w:hAnsi="Times New Roman" w:cs="Times New Roman"/>
                <w:sz w:val="18"/>
                <w:szCs w:val="18"/>
              </w:rPr>
            </w:pPr>
          </w:p>
        </w:tc>
        <w:tc>
          <w:tcPr>
            <w:tcW w:w="1433" w:type="pct"/>
            <w:vAlign w:val="center"/>
          </w:tcPr>
          <w:p w:rsidR="00403CD6" w:rsidRDefault="00403CD6">
            <w:pPr>
              <w:jc w:val="right"/>
              <w:rPr>
                <w:rFonts w:ascii="Times New Roman" w:hAnsi="Times New Roman" w:cs="Times New Roman"/>
              </w:rPr>
            </w:pP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200</w:t>
            </w:r>
            <w:r>
              <w:rPr>
                <w:rFonts w:ascii="Times New Roman" w:hAnsi="Times New Roman" w:cs="Times New Roman"/>
                <w:sz w:val="18"/>
                <w:szCs w:val="18"/>
              </w:rPr>
              <w:t>～</w:t>
            </w:r>
            <w:r>
              <w:rPr>
                <w:rFonts w:ascii="Times New Roman" w:hAnsi="Times New Roman" w:cs="Times New Roman"/>
                <w:sz w:val="18"/>
                <w:szCs w:val="18"/>
              </w:rPr>
              <w:t>240</w:t>
            </w:r>
            <w:r>
              <w:rPr>
                <w:rFonts w:ascii="Times New Roman" w:hAnsi="Times New Roman" w:cs="Times New Roman"/>
                <w:sz w:val="18"/>
                <w:szCs w:val="18"/>
              </w:rPr>
              <w:t>万元</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hint="eastAsia"/>
                <w:sz w:val="18"/>
                <w:szCs w:val="18"/>
              </w:rPr>
              <w:t>2</w:t>
            </w:r>
          </w:p>
        </w:tc>
        <w:tc>
          <w:tcPr>
            <w:tcW w:w="1433" w:type="pct"/>
            <w:vAlign w:val="center"/>
          </w:tcPr>
          <w:p w:rsidR="00403CD6" w:rsidRDefault="00E91A59">
            <w:pPr>
              <w:jc w:val="right"/>
              <w:rPr>
                <w:rFonts w:ascii="Times New Roman" w:hAnsi="Times New Roman" w:cs="Times New Roman"/>
              </w:rPr>
            </w:pPr>
            <w:r>
              <w:rPr>
                <w:rFonts w:ascii="Times New Roman" w:hAnsi="Times New Roman" w:cs="Times New Roman" w:hint="eastAsia"/>
                <w:sz w:val="18"/>
                <w:szCs w:val="18"/>
              </w:rPr>
              <w:t>2</w:t>
            </w: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160</w:t>
            </w:r>
            <w:r>
              <w:rPr>
                <w:rFonts w:ascii="Times New Roman" w:hAnsi="Times New Roman" w:cs="Times New Roman"/>
                <w:sz w:val="18"/>
                <w:szCs w:val="18"/>
              </w:rPr>
              <w:t>～</w:t>
            </w:r>
            <w:r>
              <w:rPr>
                <w:rFonts w:ascii="Times New Roman" w:hAnsi="Times New Roman" w:cs="Times New Roman"/>
                <w:sz w:val="18"/>
                <w:szCs w:val="18"/>
              </w:rPr>
              <w:t>200</w:t>
            </w:r>
            <w:r>
              <w:rPr>
                <w:rFonts w:ascii="Times New Roman" w:hAnsi="Times New Roman" w:cs="Times New Roman"/>
                <w:sz w:val="18"/>
                <w:szCs w:val="18"/>
              </w:rPr>
              <w:t>万元</w:t>
            </w:r>
          </w:p>
        </w:tc>
        <w:tc>
          <w:tcPr>
            <w:tcW w:w="1433" w:type="pct"/>
            <w:vAlign w:val="center"/>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hint="eastAsia"/>
                <w:sz w:val="18"/>
                <w:szCs w:val="18"/>
              </w:rPr>
              <w:t>2</w:t>
            </w:r>
          </w:p>
        </w:tc>
        <w:tc>
          <w:tcPr>
            <w:tcW w:w="1433" w:type="pct"/>
            <w:vAlign w:val="center"/>
          </w:tcPr>
          <w:p w:rsidR="00403CD6" w:rsidRDefault="00E91A59">
            <w:pPr>
              <w:jc w:val="right"/>
              <w:rPr>
                <w:rFonts w:ascii="Times New Roman" w:hAnsi="Times New Roman" w:cs="Times New Roman"/>
              </w:rPr>
            </w:pPr>
            <w:r>
              <w:rPr>
                <w:rFonts w:ascii="Times New Roman" w:hAnsi="Times New Roman" w:cs="Times New Roman" w:hint="eastAsia"/>
                <w:sz w:val="18"/>
                <w:szCs w:val="18"/>
              </w:rPr>
              <w:t>1</w:t>
            </w: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sz w:val="18"/>
                <w:szCs w:val="18"/>
              </w:rPr>
              <w:t>120</w:t>
            </w:r>
            <w:r>
              <w:rPr>
                <w:rFonts w:ascii="Times New Roman" w:hAnsi="Times New Roman" w:cs="Times New Roman"/>
                <w:sz w:val="18"/>
                <w:szCs w:val="18"/>
              </w:rPr>
              <w:t>～</w:t>
            </w:r>
            <w:r>
              <w:rPr>
                <w:rFonts w:ascii="Times New Roman" w:hAnsi="Times New Roman" w:cs="Times New Roman"/>
                <w:sz w:val="18"/>
                <w:szCs w:val="18"/>
              </w:rPr>
              <w:t>160</w:t>
            </w:r>
            <w:r>
              <w:rPr>
                <w:rFonts w:ascii="Times New Roman" w:hAnsi="Times New Roman" w:cs="Times New Roman"/>
                <w:sz w:val="18"/>
                <w:szCs w:val="18"/>
              </w:rPr>
              <w:t>万元</w:t>
            </w:r>
          </w:p>
        </w:tc>
        <w:tc>
          <w:tcPr>
            <w:tcW w:w="1433" w:type="pct"/>
          </w:tcPr>
          <w:p w:rsidR="00403CD6" w:rsidRDefault="00403CD6">
            <w:pPr>
              <w:autoSpaceDE w:val="0"/>
              <w:autoSpaceDN w:val="0"/>
              <w:adjustRightInd w:val="0"/>
              <w:spacing w:before="24" w:after="24"/>
              <w:rPr>
                <w:rFonts w:ascii="Times New Roman" w:hAnsi="Times New Roman" w:cs="Times New Roman"/>
                <w:sz w:val="18"/>
                <w:szCs w:val="18"/>
              </w:rPr>
            </w:pPr>
          </w:p>
        </w:tc>
        <w:tc>
          <w:tcPr>
            <w:tcW w:w="1433" w:type="pct"/>
          </w:tcPr>
          <w:p w:rsidR="00403CD6" w:rsidRDefault="00403CD6">
            <w:pPr>
              <w:jc w:val="right"/>
              <w:rPr>
                <w:rFonts w:ascii="Times New Roman" w:hAnsi="Times New Roman" w:cs="Times New Roman"/>
              </w:rPr>
            </w:pPr>
          </w:p>
        </w:tc>
      </w:tr>
      <w:tr w:rsidR="00403CD6">
        <w:trPr>
          <w:trHeight w:val="284"/>
        </w:trPr>
        <w:tc>
          <w:tcPr>
            <w:tcW w:w="2134" w:type="pct"/>
          </w:tcPr>
          <w:p w:rsidR="00403CD6" w:rsidRDefault="00E91A59">
            <w:pPr>
              <w:autoSpaceDE w:val="0"/>
              <w:autoSpaceDN w:val="0"/>
              <w:adjustRightInd w:val="0"/>
              <w:rPr>
                <w:rFonts w:ascii="Times New Roman" w:hAnsi="Times New Roman" w:cs="Times New Roman"/>
                <w:sz w:val="18"/>
                <w:szCs w:val="18"/>
              </w:rPr>
            </w:pPr>
            <w:r>
              <w:rPr>
                <w:rFonts w:ascii="Times New Roman" w:hAnsi="Times New Roman" w:cs="Times New Roman" w:hint="eastAsia"/>
                <w:sz w:val="18"/>
                <w:szCs w:val="18"/>
              </w:rPr>
              <w:t>80</w:t>
            </w:r>
            <w:r>
              <w:rPr>
                <w:rFonts w:ascii="Times New Roman" w:hAnsi="Times New Roman" w:cs="Times New Roman"/>
                <w:sz w:val="18"/>
                <w:szCs w:val="18"/>
              </w:rPr>
              <w:t>～</w:t>
            </w:r>
            <w:r>
              <w:rPr>
                <w:rFonts w:ascii="Times New Roman" w:hAnsi="Times New Roman" w:cs="Times New Roman"/>
                <w:sz w:val="18"/>
                <w:szCs w:val="18"/>
              </w:rPr>
              <w:t>1</w:t>
            </w:r>
            <w:r>
              <w:rPr>
                <w:rFonts w:ascii="Times New Roman" w:hAnsi="Times New Roman" w:cs="Times New Roman" w:hint="eastAsia"/>
                <w:sz w:val="18"/>
                <w:szCs w:val="18"/>
              </w:rPr>
              <w:t>2</w:t>
            </w:r>
            <w:r>
              <w:rPr>
                <w:rFonts w:ascii="Times New Roman" w:hAnsi="Times New Roman" w:cs="Times New Roman"/>
                <w:sz w:val="18"/>
                <w:szCs w:val="18"/>
              </w:rPr>
              <w:t>0</w:t>
            </w:r>
            <w:r>
              <w:rPr>
                <w:rFonts w:ascii="Times New Roman" w:hAnsi="Times New Roman" w:cs="Times New Roman"/>
                <w:sz w:val="18"/>
                <w:szCs w:val="18"/>
              </w:rPr>
              <w:t>万元</w:t>
            </w:r>
          </w:p>
        </w:tc>
        <w:tc>
          <w:tcPr>
            <w:tcW w:w="1433" w:type="pct"/>
          </w:tcPr>
          <w:p w:rsidR="00403CD6" w:rsidRDefault="00E91A59">
            <w:pPr>
              <w:autoSpaceDE w:val="0"/>
              <w:autoSpaceDN w:val="0"/>
              <w:adjustRightInd w:val="0"/>
              <w:spacing w:before="24" w:after="24"/>
              <w:jc w:val="right"/>
              <w:rPr>
                <w:rFonts w:ascii="Times New Roman" w:hAnsi="Times New Roman" w:cs="Times New Roman"/>
                <w:sz w:val="18"/>
                <w:szCs w:val="18"/>
              </w:rPr>
            </w:pPr>
            <w:r>
              <w:rPr>
                <w:rFonts w:ascii="Times New Roman" w:hAnsi="Times New Roman" w:cs="Times New Roman" w:hint="eastAsia"/>
                <w:sz w:val="18"/>
                <w:szCs w:val="18"/>
              </w:rPr>
              <w:t>1</w:t>
            </w:r>
          </w:p>
        </w:tc>
        <w:tc>
          <w:tcPr>
            <w:tcW w:w="1433" w:type="pct"/>
          </w:tcPr>
          <w:p w:rsidR="00403CD6" w:rsidRDefault="00403CD6">
            <w:pPr>
              <w:jc w:val="right"/>
              <w:rPr>
                <w:rFonts w:ascii="Times New Roman" w:hAnsi="Times New Roman" w:cs="Times New Roman"/>
              </w:rPr>
            </w:pPr>
          </w:p>
        </w:tc>
      </w:tr>
    </w:tbl>
    <w:p w:rsidR="00403CD6" w:rsidRDefault="00E91A59">
      <w:pPr>
        <w:autoSpaceDE w:val="0"/>
        <w:autoSpaceDN w:val="0"/>
        <w:adjustRightInd w:val="0"/>
        <w:spacing w:before="120" w:after="216"/>
        <w:ind w:firstLineChars="200" w:firstLine="360"/>
        <w:rPr>
          <w:rFonts w:ascii="Times New Roman" w:hAnsi="Times New Roman" w:cs="Times New Roman"/>
          <w:sz w:val="18"/>
          <w:szCs w:val="18"/>
        </w:rPr>
      </w:pPr>
      <w:r>
        <w:rPr>
          <w:rFonts w:ascii="宋体" w:eastAsia="宋体" w:hAnsi="宋体" w:cs="宋体" w:hint="eastAsia"/>
          <w:sz w:val="18"/>
          <w:szCs w:val="18"/>
        </w:rPr>
        <w:t>④</w:t>
      </w:r>
      <w:r>
        <w:rPr>
          <w:rFonts w:ascii="Times New Roman" w:hAnsi="Times New Roman" w:cs="Times New Roman"/>
          <w:sz w:val="18"/>
          <w:szCs w:val="18"/>
        </w:rPr>
        <w:t>截至</w:t>
      </w:r>
      <w:r w:rsidR="007C1056">
        <w:rPr>
          <w:rFonts w:ascii="Times New Roman" w:hAnsi="Times New Roman" w:cs="Times New Roman" w:hint="eastAsia"/>
          <w:sz w:val="18"/>
          <w:szCs w:val="18"/>
        </w:rPr>
        <w:t>2024</w:t>
      </w:r>
      <w:r>
        <w:rPr>
          <w:rFonts w:ascii="Times New Roman" w:hAnsi="Times New Roman" w:cs="Times New Roman"/>
          <w:sz w:val="18"/>
          <w:szCs w:val="18"/>
        </w:rPr>
        <w:t>年</w:t>
      </w:r>
      <w:r>
        <w:rPr>
          <w:rFonts w:ascii="Times New Roman" w:hAnsi="Times New Roman" w:cs="Times New Roman"/>
          <w:sz w:val="18"/>
          <w:szCs w:val="18"/>
        </w:rPr>
        <w:t>12</w:t>
      </w:r>
      <w:r>
        <w:rPr>
          <w:rFonts w:ascii="Times New Roman" w:hAnsi="Times New Roman" w:cs="Times New Roman"/>
          <w:sz w:val="18"/>
          <w:szCs w:val="18"/>
        </w:rPr>
        <w:t>月</w:t>
      </w:r>
      <w:r>
        <w:rPr>
          <w:rFonts w:ascii="Times New Roman" w:hAnsi="Times New Roman" w:cs="Times New Roman"/>
          <w:sz w:val="18"/>
          <w:szCs w:val="18"/>
        </w:rPr>
        <w:t>31</w:t>
      </w:r>
      <w:r>
        <w:rPr>
          <w:rFonts w:ascii="Times New Roman" w:hAnsi="Times New Roman" w:cs="Times New Roman"/>
          <w:sz w:val="18"/>
          <w:szCs w:val="18"/>
        </w:rPr>
        <w:t>日</w:t>
      </w:r>
      <w:proofErr w:type="gramStart"/>
      <w:r>
        <w:rPr>
          <w:rFonts w:ascii="Times New Roman" w:hAnsi="Times New Roman" w:cs="Times New Roman"/>
          <w:sz w:val="18"/>
          <w:szCs w:val="18"/>
        </w:rPr>
        <w:t>止</w:t>
      </w:r>
      <w:proofErr w:type="gramEnd"/>
      <w:r>
        <w:rPr>
          <w:rFonts w:ascii="Times New Roman" w:hAnsi="Times New Roman" w:cs="Times New Roman"/>
          <w:sz w:val="18"/>
          <w:szCs w:val="18"/>
        </w:rPr>
        <w:t>财政年度，</w:t>
      </w:r>
      <w:r>
        <w:rPr>
          <w:rFonts w:ascii="Times New Roman" w:hAnsi="Times New Roman" w:cs="Times New Roman"/>
          <w:sz w:val="18"/>
          <w:szCs w:val="18"/>
        </w:rPr>
        <w:t>5</w:t>
      </w:r>
      <w:r>
        <w:rPr>
          <w:rFonts w:ascii="Times New Roman" w:hAnsi="Times New Roman" w:cs="Times New Roman"/>
          <w:sz w:val="18"/>
          <w:szCs w:val="18"/>
        </w:rPr>
        <w:t>名</w:t>
      </w:r>
      <w:proofErr w:type="gramStart"/>
      <w:r>
        <w:rPr>
          <w:rFonts w:ascii="Times New Roman" w:hAnsi="Times New Roman" w:cs="Times New Roman"/>
          <w:sz w:val="18"/>
          <w:szCs w:val="18"/>
        </w:rPr>
        <w:t>最</w:t>
      </w:r>
      <w:proofErr w:type="gramEnd"/>
      <w:r>
        <w:rPr>
          <w:rFonts w:ascii="Times New Roman" w:hAnsi="Times New Roman" w:cs="Times New Roman"/>
          <w:sz w:val="18"/>
          <w:szCs w:val="18"/>
        </w:rPr>
        <w:t>高薪</w:t>
      </w:r>
      <w:proofErr w:type="gramStart"/>
      <w:r>
        <w:rPr>
          <w:rFonts w:ascii="Times New Roman" w:hAnsi="Times New Roman" w:cs="Times New Roman"/>
          <w:sz w:val="18"/>
          <w:szCs w:val="18"/>
        </w:rPr>
        <w:t>酬</w:t>
      </w:r>
      <w:proofErr w:type="gramEnd"/>
      <w:r>
        <w:rPr>
          <w:rFonts w:ascii="Times New Roman" w:hAnsi="Times New Roman" w:cs="Times New Roman"/>
          <w:sz w:val="18"/>
          <w:szCs w:val="18"/>
        </w:rPr>
        <w:t>个人并无获已支付或应收取</w:t>
      </w:r>
      <w:proofErr w:type="gramStart"/>
      <w:r>
        <w:rPr>
          <w:rFonts w:ascii="Times New Roman" w:hAnsi="Times New Roman" w:cs="Times New Roman"/>
          <w:sz w:val="18"/>
          <w:szCs w:val="18"/>
        </w:rPr>
        <w:t>酌情或</w:t>
      </w:r>
      <w:proofErr w:type="gramEnd"/>
      <w:r>
        <w:rPr>
          <w:rFonts w:ascii="Times New Roman" w:hAnsi="Times New Roman" w:cs="Times New Roman"/>
          <w:sz w:val="18"/>
          <w:szCs w:val="18"/>
        </w:rPr>
        <w:t>根据本公司、本公司或本公司任何成员业绩计算的其他花红，而本公司并无向本公司董事及前</w:t>
      </w:r>
      <w:r>
        <w:rPr>
          <w:rFonts w:ascii="Times New Roman" w:hAnsi="Times New Roman" w:cs="Times New Roman"/>
          <w:sz w:val="18"/>
          <w:szCs w:val="18"/>
        </w:rPr>
        <w:t>5</w:t>
      </w:r>
      <w:r>
        <w:rPr>
          <w:rFonts w:ascii="Times New Roman" w:hAnsi="Times New Roman" w:cs="Times New Roman"/>
          <w:sz w:val="18"/>
          <w:szCs w:val="18"/>
        </w:rPr>
        <w:t>名</w:t>
      </w:r>
      <w:proofErr w:type="gramStart"/>
      <w:r>
        <w:rPr>
          <w:rFonts w:ascii="Times New Roman" w:hAnsi="Times New Roman" w:cs="Times New Roman"/>
          <w:sz w:val="18"/>
          <w:szCs w:val="18"/>
        </w:rPr>
        <w:t>最</w:t>
      </w:r>
      <w:proofErr w:type="gramEnd"/>
      <w:r>
        <w:rPr>
          <w:rFonts w:ascii="Times New Roman" w:hAnsi="Times New Roman" w:cs="Times New Roman"/>
          <w:sz w:val="18"/>
          <w:szCs w:val="18"/>
        </w:rPr>
        <w:t>高薪</w:t>
      </w:r>
      <w:proofErr w:type="gramStart"/>
      <w:r>
        <w:rPr>
          <w:rFonts w:ascii="Times New Roman" w:hAnsi="Times New Roman" w:cs="Times New Roman"/>
          <w:sz w:val="18"/>
          <w:szCs w:val="18"/>
        </w:rPr>
        <w:t>酬</w:t>
      </w:r>
      <w:proofErr w:type="gramEnd"/>
      <w:r>
        <w:rPr>
          <w:rFonts w:ascii="Times New Roman" w:hAnsi="Times New Roman" w:cs="Times New Roman"/>
          <w:sz w:val="18"/>
          <w:szCs w:val="18"/>
        </w:rPr>
        <w:t>个人支付其他任何吸引他们加入本公司之薪金，又或在他们加入本公司后支付薪金作为激励，亦无因失去职位支付他们补偿金，年内无董事放弃任何薪金。</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6、关联方应收应付款项</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应收项目</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976"/>
        <w:gridCol w:w="1417"/>
        <w:gridCol w:w="1277"/>
        <w:gridCol w:w="1417"/>
        <w:gridCol w:w="1240"/>
      </w:tblGrid>
      <w:tr w:rsidR="00403CD6">
        <w:trPr>
          <w:trHeight w:val="284"/>
        </w:trPr>
        <w:tc>
          <w:tcPr>
            <w:tcW w:w="77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项目名称</w:t>
            </w:r>
          </w:p>
        </w:tc>
        <w:tc>
          <w:tcPr>
            <w:tcW w:w="151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关联方</w:t>
            </w:r>
          </w:p>
        </w:tc>
        <w:tc>
          <w:tcPr>
            <w:tcW w:w="1367"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348"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774" w:type="pct"/>
            <w:vMerge/>
            <w:vAlign w:val="center"/>
          </w:tcPr>
          <w:p w:rsidR="00403CD6" w:rsidRDefault="00403CD6">
            <w:pPr>
              <w:widowControl/>
              <w:rPr>
                <w:rFonts w:ascii="Times New Roman" w:eastAsia="宋体" w:hAnsi="Times New Roman" w:cs="Times New Roman"/>
                <w:sz w:val="18"/>
                <w:szCs w:val="18"/>
              </w:rPr>
            </w:pPr>
          </w:p>
        </w:tc>
        <w:tc>
          <w:tcPr>
            <w:tcW w:w="1510" w:type="pct"/>
            <w:vMerge/>
            <w:vAlign w:val="center"/>
          </w:tcPr>
          <w:p w:rsidR="00403CD6" w:rsidRDefault="00403CD6">
            <w:pPr>
              <w:widowControl/>
              <w:rPr>
                <w:rFonts w:ascii="Times New Roman" w:eastAsia="宋体" w:hAnsi="Times New Roman" w:cs="Times New Roman"/>
                <w:sz w:val="18"/>
                <w:szCs w:val="18"/>
              </w:rPr>
            </w:pPr>
          </w:p>
        </w:tc>
        <w:tc>
          <w:tcPr>
            <w:tcW w:w="7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4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7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62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应收账款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寿光晨</w:t>
            </w:r>
            <w:proofErr w:type="gramStart"/>
            <w:r>
              <w:rPr>
                <w:rFonts w:ascii="Times New Roman" w:hAnsi="Times New Roman" w:cs="Times New Roman"/>
                <w:color w:val="000000"/>
                <w:sz w:val="18"/>
                <w:szCs w:val="18"/>
              </w:rPr>
              <w:t>鸣汇森</w:t>
            </w:r>
            <w:proofErr w:type="gramEnd"/>
            <w:r>
              <w:rPr>
                <w:rFonts w:ascii="Times New Roman" w:hAnsi="Times New Roman" w:cs="Times New Roman"/>
                <w:color w:val="000000"/>
                <w:sz w:val="18"/>
                <w:szCs w:val="18"/>
              </w:rPr>
              <w:t>新型建材有限公司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903,414.15</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6,323.90</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应收账款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利得科技有限公司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171,451.91</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1,200.16</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应收账款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晨鸣（青岛）资产管理有限公司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2,359.03</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23.18</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应收账款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w:t>
            </w:r>
            <w:proofErr w:type="gramStart"/>
            <w:r>
              <w:rPr>
                <w:rFonts w:ascii="Times New Roman" w:hAnsi="Times New Roman" w:cs="Times New Roman"/>
                <w:color w:val="000000"/>
                <w:sz w:val="18"/>
                <w:szCs w:val="18"/>
              </w:rPr>
              <w:t>晨鸣广源</w:t>
            </w:r>
            <w:proofErr w:type="gramEnd"/>
            <w:r>
              <w:rPr>
                <w:rFonts w:ascii="Times New Roman" w:hAnsi="Times New Roman" w:cs="Times New Roman"/>
                <w:color w:val="000000"/>
                <w:sz w:val="18"/>
                <w:szCs w:val="18"/>
              </w:rPr>
              <w:t>物业管理有限公司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870,685.06</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6,094.80</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其他应收款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武汉晨鸣汉阳纸业股份有限公司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238,093,358.44</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13,523,702.76</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227,252,701.60</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其他应收款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寿光美特环保科技有限公司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11,179,201.88</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5,603,487.91</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10,427,200.00</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2,102,653.38</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其他应收款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潍坊港区木片码头有限公司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79,397,749.84</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12,131,778.23</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75,554,749.84</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8,991,998.46</w:t>
            </w:r>
          </w:p>
        </w:tc>
      </w:tr>
      <w:tr w:rsidR="00403CD6">
        <w:trPr>
          <w:trHeight w:val="284"/>
        </w:trPr>
        <w:tc>
          <w:tcPr>
            <w:tcW w:w="774"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其他应收款</w:t>
            </w:r>
          </w:p>
        </w:tc>
        <w:tc>
          <w:tcPr>
            <w:tcW w:w="1510" w:type="pct"/>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w:t>
            </w:r>
            <w:proofErr w:type="gramStart"/>
            <w:r>
              <w:rPr>
                <w:rFonts w:ascii="Times New Roman" w:hAnsi="Times New Roman" w:cs="Times New Roman"/>
                <w:color w:val="000000"/>
                <w:sz w:val="18"/>
                <w:szCs w:val="18"/>
              </w:rPr>
              <w:t>晨鸣广源地</w:t>
            </w:r>
            <w:proofErr w:type="gramEnd"/>
            <w:r>
              <w:rPr>
                <w:rFonts w:ascii="Times New Roman" w:hAnsi="Times New Roman" w:cs="Times New Roman"/>
                <w:color w:val="000000"/>
                <w:sz w:val="18"/>
                <w:szCs w:val="18"/>
              </w:rPr>
              <w:t>产有限公司</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22,000.00</w:t>
            </w:r>
          </w:p>
        </w:tc>
        <w:tc>
          <w:tcPr>
            <w:tcW w:w="64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1,100.00</w:t>
            </w:r>
          </w:p>
        </w:tc>
        <w:tc>
          <w:tcPr>
            <w:tcW w:w="71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629"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应付项目</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2872"/>
        <w:gridCol w:w="2411"/>
        <w:gridCol w:w="2411"/>
      </w:tblGrid>
      <w:tr w:rsidR="00403CD6">
        <w:trPr>
          <w:trHeight w:val="284"/>
        </w:trPr>
        <w:tc>
          <w:tcPr>
            <w:tcW w:w="195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项目名称</w:t>
            </w:r>
          </w:p>
        </w:tc>
        <w:tc>
          <w:tcPr>
            <w:tcW w:w="2872"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关联方</w:t>
            </w:r>
          </w:p>
        </w:tc>
        <w:tc>
          <w:tcPr>
            <w:tcW w:w="241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期末账面余额</w:t>
            </w:r>
          </w:p>
        </w:tc>
        <w:tc>
          <w:tcPr>
            <w:tcW w:w="2411" w:type="dxa"/>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期初账面余额</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武汉晨</w:t>
            </w:r>
            <w:proofErr w:type="gramStart"/>
            <w:r>
              <w:rPr>
                <w:rFonts w:ascii="Times New Roman" w:hAnsi="Times New Roman" w:cs="Times New Roman"/>
                <w:color w:val="000000"/>
                <w:sz w:val="18"/>
                <w:szCs w:val="18"/>
              </w:rPr>
              <w:t>鸣乾能</w:t>
            </w:r>
            <w:proofErr w:type="gramEnd"/>
            <w:r>
              <w:rPr>
                <w:rFonts w:ascii="Times New Roman" w:hAnsi="Times New Roman" w:cs="Times New Roman"/>
                <w:color w:val="000000"/>
                <w:sz w:val="18"/>
                <w:szCs w:val="18"/>
              </w:rPr>
              <w:t>热电有限责任公司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4,869.10</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72,483.77</w:t>
            </w:r>
            <w:r>
              <w:rPr>
                <w:rFonts w:ascii="Times New Roman" w:hAnsi="Times New Roman" w:cs="Times New Roman"/>
                <w:color w:val="000000"/>
                <w:sz w:val="18"/>
                <w:szCs w:val="18"/>
              </w:rPr>
              <w:t xml:space="preserve">　</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武汉晨鸣汉阳纸业股份有限公司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13,921,249.12</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hint="eastAsia"/>
                <w:color w:val="000000"/>
                <w:sz w:val="18"/>
                <w:szCs w:val="18"/>
              </w:rPr>
              <w:t>14,334,304.63</w:t>
            </w:r>
            <w:r>
              <w:rPr>
                <w:rFonts w:ascii="Times New Roman" w:hAnsi="Times New Roman" w:cs="Times New Roman"/>
                <w:color w:val="000000"/>
                <w:sz w:val="18"/>
                <w:szCs w:val="18"/>
              </w:rPr>
              <w:t xml:space="preserve">　</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w:t>
            </w:r>
            <w:proofErr w:type="gramStart"/>
            <w:r>
              <w:rPr>
                <w:rFonts w:ascii="Times New Roman" w:hAnsi="Times New Roman" w:cs="Times New Roman"/>
                <w:color w:val="000000"/>
                <w:sz w:val="18"/>
                <w:szCs w:val="18"/>
              </w:rPr>
              <w:t>星兴联合</w:t>
            </w:r>
            <w:proofErr w:type="gramEnd"/>
            <w:r>
              <w:rPr>
                <w:rFonts w:ascii="Times New Roman" w:hAnsi="Times New Roman" w:cs="Times New Roman"/>
                <w:color w:val="000000"/>
                <w:sz w:val="18"/>
                <w:szCs w:val="18"/>
              </w:rPr>
              <w:t>化工有限公司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26,905,494.34</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26,905,494.34</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潍坊港区木片码头有限公司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22,610,306.71</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6,932,747.45</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寿光美特环保科技有限公司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15,292,739.96</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12,973,303.12</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应付账款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寿光汇</w:t>
            </w:r>
            <w:proofErr w:type="gramStart"/>
            <w:r>
              <w:rPr>
                <w:rFonts w:ascii="Times New Roman" w:hAnsi="Times New Roman" w:cs="Times New Roman"/>
                <w:color w:val="000000"/>
                <w:sz w:val="18"/>
                <w:szCs w:val="18"/>
              </w:rPr>
              <w:t>鑫</w:t>
            </w:r>
            <w:proofErr w:type="gramEnd"/>
            <w:r>
              <w:rPr>
                <w:rFonts w:ascii="Times New Roman" w:hAnsi="Times New Roman" w:cs="Times New Roman"/>
                <w:color w:val="000000"/>
                <w:sz w:val="18"/>
                <w:szCs w:val="18"/>
              </w:rPr>
              <w:t>建材有限公司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42,929.24</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武汉晨鸣汉阳纸业股份有限公司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5,194,879.89</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305,000,000.00</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利得科技有限公司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559,897.05</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559,897.05</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晨鸣（青岛）资产管理有限公司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115,583.42</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晨鸣控股有限公司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38,500,000.00</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135,612,917.24</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潍坊</w:t>
            </w:r>
            <w:proofErr w:type="gramStart"/>
            <w:r>
              <w:rPr>
                <w:rFonts w:ascii="Times New Roman" w:hAnsi="Times New Roman" w:cs="Times New Roman"/>
                <w:color w:val="000000"/>
                <w:sz w:val="18"/>
                <w:szCs w:val="18"/>
              </w:rPr>
              <w:t>星兴联合</w:t>
            </w:r>
            <w:proofErr w:type="gramEnd"/>
            <w:r>
              <w:rPr>
                <w:rFonts w:ascii="Times New Roman" w:hAnsi="Times New Roman" w:cs="Times New Roman"/>
                <w:color w:val="000000"/>
                <w:sz w:val="18"/>
                <w:szCs w:val="18"/>
              </w:rPr>
              <w:t>化工有限公司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16,860,000.00</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16,860,000.00</w:t>
            </w:r>
          </w:p>
        </w:tc>
      </w:tr>
      <w:tr w:rsidR="00403CD6">
        <w:trPr>
          <w:trHeight w:val="284"/>
        </w:trPr>
        <w:tc>
          <w:tcPr>
            <w:tcW w:w="1951"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其他应付款</w:t>
            </w:r>
          </w:p>
        </w:tc>
        <w:tc>
          <w:tcPr>
            <w:tcW w:w="2872" w:type="dxa"/>
            <w:vAlign w:val="center"/>
          </w:tcPr>
          <w:p w:rsidR="00403CD6" w:rsidRDefault="00E91A59">
            <w:pPr>
              <w:spacing w:line="240" w:lineRule="exact"/>
              <w:rPr>
                <w:rFonts w:ascii="Times New Roman" w:eastAsia="宋体" w:hAnsi="Times New Roman" w:cs="Times New Roman"/>
                <w:sz w:val="18"/>
                <w:szCs w:val="18"/>
              </w:rPr>
            </w:pPr>
            <w:r>
              <w:rPr>
                <w:rFonts w:ascii="Times New Roman" w:hAnsi="Times New Roman" w:cs="Times New Roman"/>
                <w:color w:val="000000"/>
                <w:sz w:val="18"/>
                <w:szCs w:val="18"/>
              </w:rPr>
              <w:t>寿光</w:t>
            </w:r>
            <w:proofErr w:type="gramStart"/>
            <w:r>
              <w:rPr>
                <w:rFonts w:ascii="Times New Roman" w:hAnsi="Times New Roman" w:cs="Times New Roman"/>
                <w:color w:val="000000"/>
                <w:sz w:val="18"/>
                <w:szCs w:val="18"/>
              </w:rPr>
              <w:t>晨鸣广源地</w:t>
            </w:r>
            <w:proofErr w:type="gramEnd"/>
            <w:r>
              <w:rPr>
                <w:rFonts w:ascii="Times New Roman" w:hAnsi="Times New Roman" w:cs="Times New Roman"/>
                <w:color w:val="000000"/>
                <w:sz w:val="18"/>
                <w:szCs w:val="18"/>
              </w:rPr>
              <w:t>产有限公司</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197,714,644.82</w:t>
            </w:r>
          </w:p>
        </w:tc>
        <w:tc>
          <w:tcPr>
            <w:tcW w:w="2411" w:type="dxa"/>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 xml:space="preserve">　</w:t>
            </w:r>
          </w:p>
        </w:tc>
      </w:tr>
    </w:tbl>
    <w:p w:rsidR="00403CD6" w:rsidRDefault="00E91A59">
      <w:pPr>
        <w:keepNext/>
        <w:keepLines/>
        <w:spacing w:before="300" w:after="300" w:line="241" w:lineRule="auto"/>
        <w:jc w:val="both"/>
        <w:outlineLvl w:val="3"/>
        <w:rPr>
          <w:rFonts w:ascii="Times New Roman" w:hAnsi="Times New Roman" w:cs="Times New Roman"/>
          <w:b/>
          <w:kern w:val="28"/>
          <w:szCs w:val="24"/>
        </w:rPr>
      </w:pPr>
      <w:bookmarkStart w:id="151" w:name="_Toc989497"/>
      <w:r>
        <w:rPr>
          <w:rFonts w:ascii="Times New Roman" w:hAnsi="Times New Roman" w:cs="Times New Roman"/>
          <w:b/>
          <w:kern w:val="28"/>
          <w:szCs w:val="24"/>
        </w:rPr>
        <w:lastRenderedPageBreak/>
        <w:t>（</w:t>
      </w:r>
      <w:r>
        <w:rPr>
          <w:rFonts w:ascii="Times New Roman" w:hAnsi="Times New Roman" w:cs="Times New Roman"/>
          <w:b/>
          <w:kern w:val="28"/>
          <w:szCs w:val="24"/>
        </w:rPr>
        <w:t>3</w:t>
      </w:r>
      <w:r>
        <w:rPr>
          <w:rFonts w:ascii="Times New Roman" w:hAnsi="Times New Roman" w:cs="Times New Roman"/>
          <w:b/>
          <w:kern w:val="28"/>
          <w:szCs w:val="24"/>
        </w:rPr>
        <w:t>）存放关联方款项</w:t>
      </w:r>
    </w:p>
    <w:p w:rsidR="00403CD6" w:rsidRDefault="00E91A59">
      <w:pPr>
        <w:spacing w:before="40" w:after="40"/>
        <w:jc w:val="right"/>
        <w:rPr>
          <w:rFonts w:ascii="Times New Roman" w:hAnsi="Times New Roman" w:cs="Times New Roman"/>
          <w:sz w:val="18"/>
          <w:szCs w:val="24"/>
        </w:rPr>
      </w:pPr>
      <w:r>
        <w:rPr>
          <w:rFonts w:ascii="Times New Roman" w:hAnsi="Times New Roman" w:cs="Times New Roman"/>
          <w:sz w:val="18"/>
          <w:szCs w:val="24"/>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421"/>
        <w:gridCol w:w="3036"/>
        <w:gridCol w:w="2154"/>
        <w:gridCol w:w="2082"/>
      </w:tblGrid>
      <w:tr w:rsidR="00403CD6">
        <w:tc>
          <w:tcPr>
            <w:tcW w:w="1249" w:type="pct"/>
            <w:shd w:val="clear" w:color="auto" w:fill="D3D3D3"/>
            <w:vAlign w:val="center"/>
          </w:tcPr>
          <w:p w:rsidR="00403CD6" w:rsidRDefault="00E91A59">
            <w:pPr>
              <w:spacing w:before="40" w:after="40"/>
              <w:jc w:val="center"/>
              <w:rPr>
                <w:rFonts w:ascii="Times New Roman" w:eastAsia="宋体" w:hAnsi="Times New Roman" w:cs="Times New Roman"/>
                <w:color w:val="000000"/>
                <w:kern w:val="0"/>
                <w:sz w:val="18"/>
                <w:szCs w:val="24"/>
              </w:rPr>
            </w:pPr>
            <w:r>
              <w:rPr>
                <w:rFonts w:ascii="Times New Roman" w:hAnsi="Times New Roman" w:cs="Times New Roman"/>
                <w:color w:val="000000"/>
                <w:sz w:val="18"/>
                <w:szCs w:val="18"/>
              </w:rPr>
              <w:t>项目名称</w:t>
            </w:r>
          </w:p>
        </w:tc>
        <w:tc>
          <w:tcPr>
            <w:tcW w:w="1566"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关联方</w:t>
            </w:r>
          </w:p>
        </w:tc>
        <w:tc>
          <w:tcPr>
            <w:tcW w:w="1111"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期末余额</w:t>
            </w:r>
          </w:p>
        </w:tc>
        <w:tc>
          <w:tcPr>
            <w:tcW w:w="1074"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期初余额</w:t>
            </w:r>
          </w:p>
        </w:tc>
      </w:tr>
      <w:tr w:rsidR="00403CD6">
        <w:tc>
          <w:tcPr>
            <w:tcW w:w="1249"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银行存款</w:t>
            </w:r>
          </w:p>
        </w:tc>
        <w:tc>
          <w:tcPr>
            <w:tcW w:w="1566"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广东南粤银行股份有限公司</w:t>
            </w:r>
          </w:p>
        </w:tc>
        <w:tc>
          <w:tcPr>
            <w:tcW w:w="1111"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1,891,614.39</w:t>
            </w:r>
          </w:p>
        </w:tc>
        <w:tc>
          <w:tcPr>
            <w:tcW w:w="1074"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7,189,314.62</w:t>
            </w:r>
          </w:p>
        </w:tc>
      </w:tr>
      <w:tr w:rsidR="00403CD6">
        <w:tc>
          <w:tcPr>
            <w:tcW w:w="1249"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其他货币资金</w:t>
            </w:r>
          </w:p>
        </w:tc>
        <w:tc>
          <w:tcPr>
            <w:tcW w:w="1566"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广东南粤银行股份有限公司</w:t>
            </w:r>
          </w:p>
        </w:tc>
        <w:tc>
          <w:tcPr>
            <w:tcW w:w="1111"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87,600,000.00</w:t>
            </w:r>
          </w:p>
        </w:tc>
        <w:tc>
          <w:tcPr>
            <w:tcW w:w="1074"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1,311,200,000.00</w:t>
            </w:r>
          </w:p>
        </w:tc>
      </w:tr>
    </w:tbl>
    <w:p w:rsidR="00403CD6" w:rsidRDefault="00E91A59">
      <w:pPr>
        <w:keepNext/>
        <w:keepLines/>
        <w:spacing w:before="300" w:after="300" w:line="241" w:lineRule="auto"/>
        <w:jc w:val="both"/>
        <w:outlineLvl w:val="3"/>
        <w:rPr>
          <w:rFonts w:ascii="Times New Roman" w:hAnsi="Times New Roman" w:cs="Times New Roman"/>
          <w:b/>
          <w:kern w:val="28"/>
          <w:szCs w:val="24"/>
        </w:rPr>
      </w:pPr>
      <w:r>
        <w:rPr>
          <w:rFonts w:ascii="Times New Roman" w:hAnsi="Times New Roman" w:cs="Times New Roman"/>
          <w:b/>
          <w:kern w:val="28"/>
          <w:szCs w:val="24"/>
        </w:rPr>
        <w:t>（</w:t>
      </w:r>
      <w:r>
        <w:rPr>
          <w:rFonts w:ascii="Times New Roman" w:hAnsi="Times New Roman" w:cs="Times New Roman"/>
          <w:b/>
          <w:kern w:val="28"/>
          <w:szCs w:val="24"/>
        </w:rPr>
        <w:t>4</w:t>
      </w:r>
      <w:r>
        <w:rPr>
          <w:rFonts w:ascii="Times New Roman" w:hAnsi="Times New Roman" w:cs="Times New Roman"/>
          <w:b/>
          <w:kern w:val="28"/>
          <w:szCs w:val="24"/>
        </w:rPr>
        <w:t>）关联方贷款</w:t>
      </w:r>
    </w:p>
    <w:p w:rsidR="00403CD6" w:rsidRDefault="00E91A59">
      <w:pPr>
        <w:spacing w:before="40" w:after="40"/>
        <w:jc w:val="right"/>
        <w:rPr>
          <w:rFonts w:ascii="Times New Roman" w:hAnsi="Times New Roman" w:cs="Times New Roman"/>
          <w:sz w:val="18"/>
          <w:szCs w:val="24"/>
        </w:rPr>
      </w:pPr>
      <w:r>
        <w:rPr>
          <w:rFonts w:ascii="Times New Roman" w:hAnsi="Times New Roman" w:cs="Times New Roman"/>
          <w:sz w:val="18"/>
          <w:szCs w:val="24"/>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282"/>
        <w:gridCol w:w="3133"/>
        <w:gridCol w:w="2336"/>
        <w:gridCol w:w="1942"/>
      </w:tblGrid>
      <w:tr w:rsidR="00403CD6">
        <w:trPr>
          <w:trHeight w:val="284"/>
        </w:trPr>
        <w:tc>
          <w:tcPr>
            <w:tcW w:w="1177" w:type="pct"/>
            <w:shd w:val="clear" w:color="auto" w:fill="D3D3D3"/>
            <w:vAlign w:val="center"/>
          </w:tcPr>
          <w:p w:rsidR="00403CD6" w:rsidRDefault="00E91A59">
            <w:pPr>
              <w:spacing w:before="40" w:after="40"/>
              <w:jc w:val="center"/>
              <w:rPr>
                <w:rFonts w:ascii="Times New Roman" w:eastAsia="宋体" w:hAnsi="Times New Roman" w:cs="Times New Roman"/>
                <w:color w:val="000000"/>
                <w:kern w:val="0"/>
                <w:sz w:val="18"/>
                <w:szCs w:val="24"/>
              </w:rPr>
            </w:pPr>
            <w:r>
              <w:rPr>
                <w:rFonts w:ascii="Times New Roman" w:hAnsi="Times New Roman" w:cs="Times New Roman"/>
                <w:color w:val="000000"/>
                <w:sz w:val="18"/>
                <w:szCs w:val="18"/>
              </w:rPr>
              <w:t>项目名称</w:t>
            </w:r>
          </w:p>
        </w:tc>
        <w:tc>
          <w:tcPr>
            <w:tcW w:w="1616"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关联方</w:t>
            </w:r>
          </w:p>
        </w:tc>
        <w:tc>
          <w:tcPr>
            <w:tcW w:w="1205"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期末余额</w:t>
            </w:r>
          </w:p>
        </w:tc>
        <w:tc>
          <w:tcPr>
            <w:tcW w:w="1002" w:type="pct"/>
            <w:shd w:val="clear" w:color="auto" w:fill="D3D3D3"/>
            <w:vAlign w:val="center"/>
          </w:tcPr>
          <w:p w:rsidR="00403CD6" w:rsidRDefault="00E91A59">
            <w:pPr>
              <w:spacing w:before="40" w:after="40"/>
              <w:jc w:val="center"/>
              <w:rPr>
                <w:rFonts w:ascii="Times New Roman" w:hAnsi="Times New Roman" w:cs="Times New Roman"/>
                <w:sz w:val="18"/>
                <w:szCs w:val="24"/>
              </w:rPr>
            </w:pPr>
            <w:r>
              <w:rPr>
                <w:rFonts w:ascii="Times New Roman" w:hAnsi="Times New Roman" w:cs="Times New Roman"/>
                <w:color w:val="000000"/>
                <w:sz w:val="18"/>
                <w:szCs w:val="18"/>
              </w:rPr>
              <w:t>期初余额</w:t>
            </w:r>
          </w:p>
        </w:tc>
      </w:tr>
      <w:tr w:rsidR="00403CD6">
        <w:trPr>
          <w:trHeight w:val="284"/>
        </w:trPr>
        <w:tc>
          <w:tcPr>
            <w:tcW w:w="1177"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短期借款</w:t>
            </w:r>
          </w:p>
        </w:tc>
        <w:tc>
          <w:tcPr>
            <w:tcW w:w="1616" w:type="pct"/>
            <w:shd w:val="clear" w:color="auto" w:fill="FFFFFF"/>
            <w:vAlign w:val="center"/>
          </w:tcPr>
          <w:p w:rsidR="00403CD6" w:rsidRDefault="00E91A59">
            <w:pPr>
              <w:spacing w:before="40" w:after="40"/>
              <w:jc w:val="both"/>
              <w:rPr>
                <w:rFonts w:ascii="Times New Roman" w:hAnsi="Times New Roman" w:cs="Times New Roman"/>
                <w:color w:val="000000"/>
                <w:sz w:val="18"/>
                <w:szCs w:val="18"/>
              </w:rPr>
            </w:pPr>
            <w:r>
              <w:rPr>
                <w:rFonts w:hint="eastAsia"/>
                <w:color w:val="000000"/>
                <w:sz w:val="18"/>
                <w:szCs w:val="18"/>
              </w:rPr>
              <w:t>广东南粤银行股份有限公司</w:t>
            </w:r>
          </w:p>
        </w:tc>
        <w:tc>
          <w:tcPr>
            <w:tcW w:w="1205"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857,890,000.00</w:t>
            </w:r>
          </w:p>
        </w:tc>
        <w:tc>
          <w:tcPr>
            <w:tcW w:w="1002" w:type="pct"/>
            <w:shd w:val="clear" w:color="auto" w:fill="FFFFFF"/>
            <w:vAlign w:val="center"/>
          </w:tcPr>
          <w:p w:rsidR="00403CD6" w:rsidRDefault="00E91A59">
            <w:pPr>
              <w:spacing w:before="40" w:after="40"/>
              <w:jc w:val="right"/>
              <w:rPr>
                <w:rFonts w:ascii="Times New Roman" w:hAnsi="Times New Roman" w:cs="Times New Roman"/>
                <w:color w:val="000000"/>
                <w:sz w:val="18"/>
                <w:szCs w:val="18"/>
              </w:rPr>
            </w:pPr>
            <w:r>
              <w:rPr>
                <w:rFonts w:ascii="Times New Roman" w:hAnsi="Times New Roman" w:cs="Times New Roman"/>
                <w:color w:val="000000"/>
                <w:sz w:val="18"/>
                <w:szCs w:val="18"/>
              </w:rPr>
              <w:t>2,069,060,000.00</w:t>
            </w:r>
          </w:p>
        </w:tc>
      </w:tr>
    </w:tbl>
    <w:bookmarkEnd w:id="151"/>
    <w:p w:rsidR="00403CD6" w:rsidRDefault="00E91A59">
      <w:pPr>
        <w:pStyle w:val="2"/>
        <w:spacing w:before="300" w:after="300" w:line="320" w:lineRule="exact"/>
        <w:rPr>
          <w:rFonts w:ascii="宋体" w:eastAsia="宋体" w:hAnsi="宋体" w:cs="宋体"/>
          <w:b/>
          <w:bCs/>
          <w:sz w:val="24"/>
          <w:szCs w:val="24"/>
        </w:rPr>
      </w:pPr>
      <w:r>
        <w:rPr>
          <w:rFonts w:ascii="宋体" w:eastAsia="宋体" w:hAnsi="宋体" w:cs="宋体" w:hint="eastAsia"/>
          <w:b/>
          <w:bCs/>
          <w:sz w:val="24"/>
          <w:szCs w:val="24"/>
        </w:rPr>
        <w:t>十五、股份支付</w:t>
      </w:r>
    </w:p>
    <w:p w:rsidR="00403CD6" w:rsidRDefault="00E91A59">
      <w:pPr>
        <w:pStyle w:val="30"/>
        <w:spacing w:line="280" w:lineRule="exact"/>
        <w:jc w:val="left"/>
        <w:rPr>
          <w:rFonts w:ascii="宋体" w:hAnsi="宋体" w:cs="宋体"/>
          <w:sz w:val="21"/>
        </w:rPr>
      </w:pPr>
      <w:r>
        <w:rPr>
          <w:rFonts w:ascii="宋体" w:hAnsi="宋体" w:cs="宋体" w:hint="eastAsia"/>
          <w:sz w:val="21"/>
        </w:rPr>
        <w:t>1、股份支付总体情况</w:t>
      </w:r>
    </w:p>
    <w:p w:rsidR="00403CD6" w:rsidRDefault="00E91A59">
      <w:pPr>
        <w:spacing w:before="100" w:after="100" w:line="240" w:lineRule="exact"/>
        <w:rPr>
          <w:rFonts w:ascii="黑体" w:eastAsia="黑体" w:hAnsi="黑体"/>
          <w:i/>
          <w:iCs/>
          <w:color w:val="DD5353"/>
          <w:szCs w:val="21"/>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pStyle w:val="30"/>
        <w:spacing w:line="280" w:lineRule="exact"/>
        <w:jc w:val="left"/>
        <w:rPr>
          <w:rFonts w:ascii="宋体" w:hAnsi="宋体" w:cs="宋体"/>
          <w:sz w:val="21"/>
        </w:rPr>
      </w:pPr>
      <w:r>
        <w:rPr>
          <w:rFonts w:ascii="宋体" w:hAnsi="宋体" w:cs="宋体" w:hint="eastAsia"/>
          <w:sz w:val="21"/>
        </w:rPr>
        <w:t>2、以权益结算的股份支付情况</w:t>
      </w:r>
    </w:p>
    <w:p w:rsidR="00403CD6" w:rsidRDefault="00E91A59">
      <w:pPr>
        <w:spacing w:before="100" w:after="100" w:line="240" w:lineRule="exact"/>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pStyle w:val="30"/>
        <w:spacing w:line="280" w:lineRule="exact"/>
        <w:jc w:val="left"/>
        <w:rPr>
          <w:rFonts w:ascii="宋体" w:hAnsi="宋体" w:cs="宋体"/>
          <w:sz w:val="21"/>
        </w:rPr>
      </w:pPr>
      <w:bookmarkStart w:id="152" w:name="_Toc989502"/>
      <w:r>
        <w:rPr>
          <w:rFonts w:ascii="宋体" w:hAnsi="宋体" w:cs="宋体" w:hint="eastAsia"/>
          <w:sz w:val="21"/>
        </w:rPr>
        <w:t>3、以现金结算的股份支付情况</w:t>
      </w:r>
      <w:bookmarkEnd w:id="152"/>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bookmarkStart w:id="153" w:name="_Toc989503"/>
    </w:p>
    <w:p w:rsidR="00403CD6" w:rsidRDefault="00E91A59">
      <w:pPr>
        <w:pStyle w:val="30"/>
        <w:spacing w:line="280" w:lineRule="exact"/>
        <w:jc w:val="left"/>
        <w:rPr>
          <w:rFonts w:ascii="宋体" w:hAnsi="宋体" w:cs="宋体"/>
          <w:sz w:val="21"/>
        </w:rPr>
      </w:pPr>
      <w:r>
        <w:rPr>
          <w:rFonts w:ascii="宋体" w:hAnsi="宋体" w:cs="宋体" w:hint="eastAsia"/>
          <w:sz w:val="21"/>
        </w:rPr>
        <w:t>4、本期股份支付费用</w:t>
      </w:r>
      <w:bookmarkEnd w:id="153"/>
    </w:p>
    <w:p w:rsidR="00403CD6" w:rsidRDefault="00E91A59">
      <w:pPr>
        <w:spacing w:before="100" w:after="100" w:line="240" w:lineRule="exact"/>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pStyle w:val="2"/>
        <w:spacing w:before="300" w:after="300" w:line="320" w:lineRule="exact"/>
        <w:rPr>
          <w:rFonts w:ascii="宋体" w:eastAsia="宋体" w:hAnsi="宋体" w:cs="宋体"/>
          <w:b/>
          <w:bCs/>
          <w:sz w:val="24"/>
          <w:szCs w:val="24"/>
        </w:rPr>
      </w:pPr>
      <w:r>
        <w:rPr>
          <w:rFonts w:ascii="宋体" w:eastAsia="宋体" w:hAnsi="宋体" w:cs="宋体" w:hint="eastAsia"/>
          <w:b/>
          <w:bCs/>
          <w:sz w:val="24"/>
          <w:szCs w:val="24"/>
        </w:rPr>
        <w:t>十六、承诺及或有事项</w:t>
      </w:r>
    </w:p>
    <w:p w:rsidR="00403CD6" w:rsidRDefault="00E91A59">
      <w:pPr>
        <w:pStyle w:val="30"/>
        <w:spacing w:line="280" w:lineRule="exact"/>
        <w:jc w:val="left"/>
        <w:rPr>
          <w:rFonts w:ascii="宋体" w:hAnsi="宋体" w:cs="宋体"/>
          <w:sz w:val="21"/>
        </w:rPr>
      </w:pPr>
      <w:bookmarkStart w:id="154" w:name="_Toc989507"/>
      <w:r>
        <w:rPr>
          <w:rFonts w:ascii="宋体" w:hAnsi="宋体" w:cs="宋体" w:hint="eastAsia"/>
          <w:sz w:val="21"/>
        </w:rPr>
        <w:t>1、重要承诺事项</w:t>
      </w:r>
      <w:bookmarkEnd w:id="154"/>
    </w:p>
    <w:p w:rsidR="00403CD6" w:rsidRDefault="00E91A59">
      <w:pPr>
        <w:pStyle w:val="3"/>
        <w:numPr>
          <w:ilvl w:val="0"/>
          <w:numId w:val="0"/>
        </w:numPr>
        <w:spacing w:before="156" w:after="280"/>
        <w:rPr>
          <w:rFonts w:ascii="Times New Roman" w:eastAsiaTheme="minorEastAsia" w:hAnsi="Times New Roman"/>
          <w:bCs w:val="0"/>
          <w:sz w:val="18"/>
          <w:szCs w:val="18"/>
        </w:rPr>
      </w:pPr>
      <w:r>
        <w:rPr>
          <w:rFonts w:ascii="Times New Roman" w:eastAsiaTheme="minorEastAsia" w:hAnsi="Times New Roman"/>
          <w:bCs w:val="0"/>
          <w:sz w:val="18"/>
          <w:szCs w:val="18"/>
        </w:rPr>
        <w:t>（</w:t>
      </w:r>
      <w:r>
        <w:rPr>
          <w:rFonts w:ascii="Times New Roman" w:eastAsiaTheme="minorEastAsia" w:hAnsi="Times New Roman"/>
          <w:bCs w:val="0"/>
          <w:sz w:val="18"/>
          <w:szCs w:val="18"/>
        </w:rPr>
        <w:t>1</w:t>
      </w:r>
      <w:r>
        <w:rPr>
          <w:rFonts w:ascii="Times New Roman" w:eastAsiaTheme="minorEastAsia" w:hAnsi="Times New Roman"/>
          <w:bCs w:val="0"/>
          <w:sz w:val="18"/>
          <w:szCs w:val="18"/>
        </w:rPr>
        <w:t>）资本承诺</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7"/>
        <w:gridCol w:w="2248"/>
        <w:gridCol w:w="2248"/>
      </w:tblGrid>
      <w:tr w:rsidR="00403CD6">
        <w:trPr>
          <w:cantSplit/>
          <w:trHeight w:val="340"/>
          <w:tblHeader/>
          <w:jc w:val="center"/>
        </w:trPr>
        <w:tc>
          <w:tcPr>
            <w:tcW w:w="2718" w:type="pct"/>
            <w:shd w:val="clear" w:color="auto" w:fill="D9D9D9" w:themeFill="background1" w:themeFillShade="D9"/>
            <w:vAlign w:val="center"/>
          </w:tcPr>
          <w:p w:rsidR="00403CD6" w:rsidRDefault="00E91A59">
            <w:pPr>
              <w:tabs>
                <w:tab w:val="left" w:pos="630"/>
              </w:tabs>
              <w:adjustRightInd w:val="0"/>
              <w:snapToGrid w:val="0"/>
              <w:jc w:val="center"/>
              <w:rPr>
                <w:rFonts w:ascii="Times New Roman" w:hAnsi="Times New Roman" w:cs="Times New Roman"/>
                <w:sz w:val="18"/>
                <w:szCs w:val="18"/>
              </w:rPr>
            </w:pPr>
            <w:r>
              <w:rPr>
                <w:rFonts w:ascii="Times New Roman" w:hAnsi="Times New Roman" w:cs="Times New Roman"/>
                <w:sz w:val="18"/>
                <w:szCs w:val="18"/>
              </w:rPr>
              <w:t>已签约但</w:t>
            </w:r>
            <w:proofErr w:type="gramStart"/>
            <w:r>
              <w:rPr>
                <w:rFonts w:ascii="Times New Roman" w:hAnsi="Times New Roman" w:cs="Times New Roman"/>
                <w:sz w:val="18"/>
                <w:szCs w:val="18"/>
              </w:rPr>
              <w:t>尚未于</w:t>
            </w:r>
            <w:proofErr w:type="gramEnd"/>
            <w:r>
              <w:rPr>
                <w:rFonts w:ascii="Times New Roman" w:hAnsi="Times New Roman" w:cs="Times New Roman"/>
                <w:sz w:val="18"/>
                <w:szCs w:val="18"/>
              </w:rPr>
              <w:t>财务报表中确认的资本承诺</w:t>
            </w:r>
          </w:p>
        </w:tc>
        <w:tc>
          <w:tcPr>
            <w:tcW w:w="1141" w:type="pct"/>
            <w:shd w:val="clear" w:color="auto" w:fill="D9D9D9" w:themeFill="background1" w:themeFillShade="D9"/>
            <w:vAlign w:val="center"/>
          </w:tcPr>
          <w:p w:rsidR="00403CD6" w:rsidRDefault="00E91A59">
            <w:pPr>
              <w:tabs>
                <w:tab w:val="left" w:pos="630"/>
              </w:tabs>
              <w:adjustRightInd w:val="0"/>
              <w:snapToGrid w:val="0"/>
              <w:jc w:val="center"/>
              <w:rPr>
                <w:rFonts w:ascii="Times New Roman" w:hAnsi="Times New Roman" w:cs="Times New Roman"/>
                <w:sz w:val="18"/>
                <w:szCs w:val="18"/>
              </w:rPr>
            </w:pPr>
            <w:r>
              <w:rPr>
                <w:rFonts w:ascii="Times New Roman" w:hAnsi="Times New Roman" w:cs="Times New Roman"/>
                <w:sz w:val="18"/>
                <w:szCs w:val="18"/>
              </w:rPr>
              <w:t>期末余额</w:t>
            </w:r>
          </w:p>
        </w:tc>
        <w:tc>
          <w:tcPr>
            <w:tcW w:w="1141" w:type="pct"/>
            <w:shd w:val="clear" w:color="auto" w:fill="D9D9D9" w:themeFill="background1" w:themeFillShade="D9"/>
            <w:vAlign w:val="center"/>
          </w:tcPr>
          <w:p w:rsidR="00403CD6" w:rsidRDefault="00E91A59">
            <w:pPr>
              <w:tabs>
                <w:tab w:val="left" w:pos="630"/>
              </w:tabs>
              <w:adjustRightInd w:val="0"/>
              <w:snapToGrid w:val="0"/>
              <w:jc w:val="center"/>
              <w:rPr>
                <w:rFonts w:ascii="Times New Roman" w:hAnsi="Times New Roman" w:cs="Times New Roman"/>
                <w:sz w:val="18"/>
                <w:szCs w:val="18"/>
              </w:rPr>
            </w:pPr>
            <w:r>
              <w:rPr>
                <w:rFonts w:ascii="Times New Roman" w:hAnsi="Times New Roman" w:cs="Times New Roman"/>
                <w:sz w:val="18"/>
                <w:szCs w:val="18"/>
              </w:rPr>
              <w:t>上年年末余额</w:t>
            </w:r>
          </w:p>
        </w:tc>
      </w:tr>
      <w:tr w:rsidR="00403CD6">
        <w:trPr>
          <w:cantSplit/>
          <w:trHeight w:val="340"/>
          <w:jc w:val="center"/>
        </w:trPr>
        <w:tc>
          <w:tcPr>
            <w:tcW w:w="2718" w:type="pct"/>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购</w:t>
            </w:r>
            <w:proofErr w:type="gramStart"/>
            <w:r>
              <w:rPr>
                <w:rFonts w:ascii="Times New Roman" w:hAnsi="Times New Roman" w:cs="Times New Roman"/>
                <w:sz w:val="18"/>
                <w:szCs w:val="18"/>
              </w:rPr>
              <w:t>建长期</w:t>
            </w:r>
            <w:proofErr w:type="gramEnd"/>
            <w:r>
              <w:rPr>
                <w:rFonts w:ascii="Times New Roman" w:hAnsi="Times New Roman" w:cs="Times New Roman"/>
                <w:sz w:val="18"/>
                <w:szCs w:val="18"/>
              </w:rPr>
              <w:t>资产承诺</w:t>
            </w:r>
          </w:p>
        </w:tc>
        <w:tc>
          <w:tcPr>
            <w:tcW w:w="2248"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298,488,760.20</w:t>
            </w:r>
          </w:p>
        </w:tc>
        <w:tc>
          <w:tcPr>
            <w:tcW w:w="2249" w:type="dxa"/>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288,776,312.58</w:t>
            </w:r>
          </w:p>
        </w:tc>
      </w:tr>
    </w:tbl>
    <w:p w:rsidR="00403CD6" w:rsidRDefault="00E91A59">
      <w:pPr>
        <w:pStyle w:val="3"/>
        <w:numPr>
          <w:ilvl w:val="0"/>
          <w:numId w:val="0"/>
        </w:numPr>
        <w:spacing w:before="156" w:after="280"/>
        <w:rPr>
          <w:rFonts w:ascii="Times New Roman" w:eastAsiaTheme="minorEastAsia" w:hAnsi="Times New Roman"/>
          <w:bCs w:val="0"/>
          <w:sz w:val="18"/>
          <w:szCs w:val="18"/>
        </w:rPr>
      </w:pPr>
      <w:r>
        <w:rPr>
          <w:rFonts w:ascii="Times New Roman" w:eastAsiaTheme="minorEastAsia" w:hAnsi="Times New Roman"/>
          <w:bCs w:val="0"/>
          <w:sz w:val="18"/>
          <w:szCs w:val="18"/>
        </w:rPr>
        <w:t>（</w:t>
      </w:r>
      <w:r>
        <w:rPr>
          <w:rFonts w:ascii="Times New Roman" w:eastAsiaTheme="minorEastAsia" w:hAnsi="Times New Roman"/>
          <w:bCs w:val="0"/>
          <w:sz w:val="18"/>
          <w:szCs w:val="18"/>
        </w:rPr>
        <w:t>2</w:t>
      </w:r>
      <w:r>
        <w:rPr>
          <w:rFonts w:ascii="Times New Roman" w:eastAsiaTheme="minorEastAsia" w:hAnsi="Times New Roman"/>
          <w:bCs w:val="0"/>
          <w:sz w:val="18"/>
          <w:szCs w:val="18"/>
        </w:rPr>
        <w:t>）其他承诺事项</w:t>
      </w:r>
    </w:p>
    <w:p w:rsidR="00403CD6" w:rsidRDefault="00E91A59">
      <w:pPr>
        <w:rPr>
          <w:rFonts w:ascii="Times New Roman" w:hAnsi="Times New Roman" w:cs="Times New Roman"/>
          <w:sz w:val="18"/>
          <w:szCs w:val="18"/>
        </w:rPr>
      </w:pPr>
      <w:r>
        <w:rPr>
          <w:rFonts w:ascii="Times New Roman" w:hAnsi="Times New Roman" w:cs="Times New Roman"/>
          <w:sz w:val="18"/>
          <w:szCs w:val="18"/>
        </w:rPr>
        <w:t>截至</w:t>
      </w:r>
      <w:r>
        <w:rPr>
          <w:rFonts w:ascii="Times New Roman" w:hAnsi="Times New Roman" w:cs="Times New Roman"/>
          <w:sz w:val="18"/>
          <w:szCs w:val="18"/>
        </w:rPr>
        <w:t>2024</w:t>
      </w:r>
      <w:r>
        <w:rPr>
          <w:rFonts w:ascii="Times New Roman" w:hAnsi="Times New Roman" w:cs="Times New Roman"/>
          <w:sz w:val="18"/>
          <w:szCs w:val="18"/>
        </w:rPr>
        <w:t>年</w:t>
      </w:r>
      <w:r>
        <w:rPr>
          <w:rFonts w:ascii="Times New Roman" w:hAnsi="Times New Roman" w:cs="Times New Roman"/>
          <w:sz w:val="18"/>
          <w:szCs w:val="18"/>
        </w:rPr>
        <w:t>12</w:t>
      </w:r>
      <w:r>
        <w:rPr>
          <w:rFonts w:ascii="Times New Roman" w:hAnsi="Times New Roman" w:cs="Times New Roman"/>
          <w:sz w:val="18"/>
          <w:szCs w:val="18"/>
        </w:rPr>
        <w:t>月</w:t>
      </w:r>
      <w:r>
        <w:rPr>
          <w:rFonts w:ascii="Times New Roman" w:hAnsi="Times New Roman" w:cs="Times New Roman"/>
          <w:sz w:val="18"/>
          <w:szCs w:val="18"/>
        </w:rPr>
        <w:t>31</w:t>
      </w:r>
      <w:r>
        <w:rPr>
          <w:rFonts w:ascii="Times New Roman" w:hAnsi="Times New Roman" w:cs="Times New Roman"/>
          <w:sz w:val="18"/>
          <w:szCs w:val="18"/>
        </w:rPr>
        <w:t>日，本公司不存在其他应披露的承诺事项</w:t>
      </w:r>
    </w:p>
    <w:p w:rsidR="00403CD6" w:rsidRDefault="00E91A59">
      <w:pPr>
        <w:pStyle w:val="30"/>
        <w:spacing w:line="280" w:lineRule="exact"/>
        <w:jc w:val="left"/>
        <w:rPr>
          <w:rFonts w:ascii="宋体" w:hAnsi="宋体" w:cs="宋体"/>
          <w:sz w:val="21"/>
        </w:rPr>
      </w:pPr>
      <w:bookmarkStart w:id="155" w:name="_Toc989508"/>
      <w:r>
        <w:rPr>
          <w:rFonts w:ascii="宋体" w:hAnsi="宋体" w:cs="宋体" w:hint="eastAsia"/>
          <w:sz w:val="21"/>
        </w:rPr>
        <w:lastRenderedPageBreak/>
        <w:t>2、或有事项</w:t>
      </w:r>
      <w:bookmarkEnd w:id="155"/>
    </w:p>
    <w:p w:rsidR="00403CD6" w:rsidRDefault="00E91A59">
      <w:pPr>
        <w:pStyle w:val="3"/>
        <w:numPr>
          <w:ilvl w:val="0"/>
          <w:numId w:val="0"/>
        </w:numPr>
        <w:spacing w:before="156" w:after="280"/>
        <w:rPr>
          <w:rFonts w:ascii="Times New Roman" w:eastAsiaTheme="minorEastAsia" w:hAnsi="Times New Roman"/>
          <w:bCs w:val="0"/>
          <w:sz w:val="18"/>
          <w:szCs w:val="18"/>
        </w:rPr>
      </w:pPr>
      <w:r>
        <w:rPr>
          <w:rFonts w:ascii="Times New Roman" w:eastAsiaTheme="minorEastAsia" w:hAnsi="Times New Roman" w:hint="eastAsia"/>
          <w:bCs w:val="0"/>
          <w:sz w:val="18"/>
          <w:szCs w:val="18"/>
        </w:rPr>
        <w:t>（</w:t>
      </w:r>
      <w:r>
        <w:rPr>
          <w:rFonts w:ascii="Times New Roman" w:eastAsiaTheme="minorEastAsia" w:hAnsi="Times New Roman" w:hint="eastAsia"/>
          <w:bCs w:val="0"/>
          <w:sz w:val="18"/>
          <w:szCs w:val="18"/>
        </w:rPr>
        <w:t>1</w:t>
      </w:r>
      <w:r>
        <w:rPr>
          <w:rFonts w:ascii="Times New Roman" w:eastAsiaTheme="minorEastAsia" w:hAnsi="Times New Roman" w:hint="eastAsia"/>
          <w:bCs w:val="0"/>
          <w:sz w:val="18"/>
          <w:szCs w:val="18"/>
        </w:rPr>
        <w:t>）</w:t>
      </w:r>
      <w:r>
        <w:rPr>
          <w:rFonts w:ascii="Times New Roman" w:eastAsiaTheme="minorEastAsia" w:hAnsi="Times New Roman"/>
          <w:bCs w:val="0"/>
          <w:sz w:val="18"/>
          <w:szCs w:val="18"/>
        </w:rPr>
        <w:t>未决诉讼仲裁形成的或有负债及其财务影响</w:t>
      </w:r>
    </w:p>
    <w:p w:rsidR="00403CD6" w:rsidRDefault="00E91A59">
      <w:pPr>
        <w:spacing w:before="100" w:after="100"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88"/>
        <w:gridCol w:w="2551"/>
        <w:gridCol w:w="1844"/>
        <w:gridCol w:w="1983"/>
        <w:gridCol w:w="851"/>
        <w:gridCol w:w="876"/>
      </w:tblGrid>
      <w:tr w:rsidR="00403CD6">
        <w:trPr>
          <w:cantSplit/>
          <w:trHeight w:val="340"/>
          <w:jc w:val="center"/>
        </w:trPr>
        <w:tc>
          <w:tcPr>
            <w:tcW w:w="819"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原告</w:t>
            </w:r>
          </w:p>
        </w:tc>
        <w:tc>
          <w:tcPr>
            <w:tcW w:w="1316"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被告</w:t>
            </w:r>
          </w:p>
        </w:tc>
        <w:tc>
          <w:tcPr>
            <w:tcW w:w="951"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案由</w:t>
            </w:r>
          </w:p>
        </w:tc>
        <w:tc>
          <w:tcPr>
            <w:tcW w:w="1023"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受理法院</w:t>
            </w:r>
          </w:p>
        </w:tc>
        <w:tc>
          <w:tcPr>
            <w:tcW w:w="439"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标的额</w:t>
            </w:r>
          </w:p>
        </w:tc>
        <w:tc>
          <w:tcPr>
            <w:tcW w:w="452" w:type="pct"/>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案件进展情况</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广东南粤银行股份有限公司海棠支行</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湛江晨鸣浆纸有限公司、山东晨鸣纸业集团股份有限公司</w:t>
            </w:r>
          </w:p>
        </w:tc>
        <w:tc>
          <w:tcPr>
            <w:tcW w:w="951" w:type="pct"/>
            <w:shd w:val="clear" w:color="auto" w:fill="auto"/>
            <w:vAlign w:val="center"/>
          </w:tcPr>
          <w:p w:rsidR="00403CD6" w:rsidRDefault="00E91A59">
            <w:pPr>
              <w:rPr>
                <w:rFonts w:ascii="Times New Roman" w:hAnsi="Times New Roman" w:cs="Times New Roman"/>
                <w:bCs/>
                <w:sz w:val="18"/>
                <w:szCs w:val="18"/>
              </w:rPr>
            </w:pPr>
            <w:bookmarkStart w:id="156" w:name="OLE_LINK10"/>
            <w:bookmarkStart w:id="157" w:name="OLE_LINK9"/>
            <w:r>
              <w:rPr>
                <w:rFonts w:ascii="Times New Roman" w:hAnsi="Times New Roman" w:cs="Times New Roman"/>
                <w:bCs/>
                <w:sz w:val="18"/>
                <w:szCs w:val="18"/>
              </w:rPr>
              <w:t>因未能及时偿还借款被原告提起诉讼</w:t>
            </w:r>
            <w:bookmarkEnd w:id="156"/>
            <w:bookmarkEnd w:id="157"/>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湛江市中级人民法院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sz w:val="18"/>
                <w:szCs w:val="18"/>
              </w:rPr>
              <w:t>452,700,000.00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一审审理中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proofErr w:type="gramStart"/>
            <w:r>
              <w:rPr>
                <w:rFonts w:ascii="Times New Roman" w:hAnsi="Times New Roman" w:cs="Times New Roman"/>
                <w:bCs/>
                <w:sz w:val="18"/>
                <w:szCs w:val="18"/>
              </w:rPr>
              <w:t>潍坊汇裕生态农业</w:t>
            </w:r>
            <w:proofErr w:type="gramEnd"/>
            <w:r>
              <w:rPr>
                <w:rFonts w:ascii="Times New Roman" w:hAnsi="Times New Roman" w:cs="Times New Roman"/>
                <w:bCs/>
                <w:sz w:val="18"/>
                <w:szCs w:val="18"/>
              </w:rPr>
              <w:t>科技有限公司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潍坊市奎文区法院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10,046,850.00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诉讼保全</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国都创业投资有限责任公司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因股权转让款未付被原告提起诉讼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北京东城区法院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63,706,000.00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一审审理中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安徽同康实业发展有限公司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寿光美伦纸业有限责任公司</w:t>
            </w:r>
          </w:p>
        </w:tc>
        <w:tc>
          <w:tcPr>
            <w:tcW w:w="951" w:type="pct"/>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因商票到期拒付被原告提起诉讼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寿光市法院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30,224,000.00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一审审理中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杭州长</w:t>
            </w:r>
            <w:proofErr w:type="gramStart"/>
            <w:r>
              <w:rPr>
                <w:rFonts w:ascii="Times New Roman" w:hAnsi="Times New Roman" w:cs="Times New Roman"/>
                <w:bCs/>
                <w:sz w:val="18"/>
                <w:szCs w:val="18"/>
              </w:rPr>
              <w:t>宝农业</w:t>
            </w:r>
            <w:proofErr w:type="gramEnd"/>
            <w:r>
              <w:rPr>
                <w:rFonts w:ascii="Times New Roman" w:hAnsi="Times New Roman" w:cs="Times New Roman"/>
                <w:bCs/>
                <w:sz w:val="18"/>
                <w:szCs w:val="18"/>
              </w:rPr>
              <w:t>科技有限公司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因未能及时偿还借款被原告提起诉讼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杭州市富阳区人民法院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15,200,000.00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北京格恩美医疗科技有限公司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山东晨鸣纸业销售有限公司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因未能及时偿还借款被原告提起诉讼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北京市东城区人民法院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46,155,000.00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一审审理中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漳州市云</w:t>
            </w:r>
            <w:proofErr w:type="gramStart"/>
            <w:r>
              <w:rPr>
                <w:rFonts w:ascii="Times New Roman" w:hAnsi="Times New Roman" w:cs="Times New Roman"/>
                <w:bCs/>
                <w:sz w:val="18"/>
                <w:szCs w:val="18"/>
              </w:rPr>
              <w:t>程贸易</w:t>
            </w:r>
            <w:proofErr w:type="gramEnd"/>
            <w:r>
              <w:rPr>
                <w:rFonts w:ascii="Times New Roman" w:hAnsi="Times New Roman" w:cs="Times New Roman"/>
                <w:bCs/>
                <w:sz w:val="18"/>
                <w:szCs w:val="18"/>
              </w:rPr>
              <w:t>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山东晨鸣纸业集团股份有限公司、寿光晨鸣进出口贸易有限公司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漳州市龙文区人民法院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300,427,000.00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兴业银行股份有限公司吉林分行</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吉林晨鸣纸业有限责任公司、山东晨鸣纸业集团股份有限公司</w:t>
            </w:r>
          </w:p>
        </w:tc>
        <w:tc>
          <w:tcPr>
            <w:tcW w:w="951" w:type="pct"/>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因垫付票款未付被原告提起诉讼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吉林市昌邑区人民法院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35,050,000.00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新疆宝新恒源物流有限公司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新疆生产建设兵团三坪垦区人民法院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sz w:val="18"/>
                <w:szCs w:val="18"/>
              </w:rPr>
              <w:t>149,724,000.00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proofErr w:type="gramStart"/>
            <w:r>
              <w:rPr>
                <w:rFonts w:ascii="Times New Roman" w:hAnsi="Times New Roman" w:cs="Times New Roman"/>
                <w:bCs/>
                <w:kern w:val="0"/>
                <w:sz w:val="18"/>
                <w:szCs w:val="18"/>
              </w:rPr>
              <w:t>赣州工</w:t>
            </w:r>
            <w:proofErr w:type="gramEnd"/>
            <w:r>
              <w:rPr>
                <w:rFonts w:ascii="Times New Roman" w:hAnsi="Times New Roman" w:cs="Times New Roman"/>
                <w:bCs/>
                <w:kern w:val="0"/>
                <w:sz w:val="18"/>
                <w:szCs w:val="18"/>
              </w:rPr>
              <w:t>发融资租赁有限公司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江西晨鸣纸业有限责任公司、山东晨鸣纸业集团股份有限公司、山东晨鸣纸业销售有限公司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赣州经济技术开发区人民法院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30,010,000.00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海</w:t>
            </w:r>
            <w:proofErr w:type="gramStart"/>
            <w:r>
              <w:rPr>
                <w:rFonts w:ascii="Times New Roman" w:hAnsi="Times New Roman" w:cs="Times New Roman"/>
                <w:bCs/>
                <w:kern w:val="0"/>
                <w:sz w:val="18"/>
                <w:szCs w:val="18"/>
              </w:rPr>
              <w:t>城市森广置业</w:t>
            </w:r>
            <w:proofErr w:type="gramEnd"/>
            <w:r>
              <w:rPr>
                <w:rFonts w:ascii="Times New Roman" w:hAnsi="Times New Roman" w:cs="Times New Roman"/>
                <w:bCs/>
                <w:kern w:val="0"/>
                <w:sz w:val="18"/>
                <w:szCs w:val="18"/>
              </w:rPr>
              <w:t>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w:t>
            </w:r>
            <w:bookmarkStart w:id="158" w:name="OLE_LINK3"/>
            <w:r>
              <w:rPr>
                <w:rFonts w:ascii="Times New Roman" w:hAnsi="Times New Roman" w:cs="Times New Roman"/>
                <w:bCs/>
                <w:kern w:val="0"/>
                <w:sz w:val="18"/>
                <w:szCs w:val="18"/>
              </w:rPr>
              <w:t>山东晨鸣纸业销售有限公司</w:t>
            </w:r>
            <w:bookmarkEnd w:id="158"/>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因未能及时偿还借款被原告提起诉讼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海城市人民法院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21,000,000.00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proofErr w:type="gramStart"/>
            <w:r>
              <w:rPr>
                <w:rFonts w:ascii="Times New Roman" w:hAnsi="Times New Roman" w:cs="Times New Roman"/>
                <w:bCs/>
                <w:kern w:val="0"/>
                <w:sz w:val="18"/>
                <w:szCs w:val="18"/>
              </w:rPr>
              <w:t>吉林市瑞泓环保</w:t>
            </w:r>
            <w:proofErr w:type="gramEnd"/>
            <w:r>
              <w:rPr>
                <w:rFonts w:ascii="Times New Roman" w:hAnsi="Times New Roman" w:cs="Times New Roman"/>
                <w:bCs/>
                <w:kern w:val="0"/>
                <w:sz w:val="18"/>
                <w:szCs w:val="18"/>
              </w:rPr>
              <w:t>科技开发有限公司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因商票到期拒付被原告提起诉讼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吉林市昌邑区法院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10,372,800.00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bookmarkStart w:id="159" w:name="OLE_LINK12"/>
            <w:r>
              <w:rPr>
                <w:rFonts w:ascii="Times New Roman" w:hAnsi="Times New Roman" w:cs="Times New Roman"/>
                <w:bCs/>
                <w:kern w:val="0"/>
                <w:sz w:val="18"/>
                <w:szCs w:val="18"/>
              </w:rPr>
              <w:t>等待一审开庭</w:t>
            </w:r>
            <w:bookmarkEnd w:id="159"/>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bookmarkStart w:id="160" w:name="OLE_LINK14"/>
            <w:bookmarkStart w:id="161" w:name="OLE_LINK13"/>
            <w:r>
              <w:rPr>
                <w:rFonts w:ascii="Times New Roman" w:hAnsi="Times New Roman" w:cs="Times New Roman"/>
                <w:bCs/>
                <w:kern w:val="0"/>
                <w:sz w:val="18"/>
                <w:szCs w:val="18"/>
              </w:rPr>
              <w:t>中集新型环保材料股份有限公司</w:t>
            </w:r>
            <w:bookmarkEnd w:id="160"/>
            <w:bookmarkEnd w:id="161"/>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山东晨鸣纸业集团股份有限公司、寿光美伦纸业有限责任公司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因商票到期拒付被原告提起诉讼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寿光市法院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12,004,700.00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厦门海</w:t>
            </w:r>
            <w:proofErr w:type="gramStart"/>
            <w:r>
              <w:rPr>
                <w:rFonts w:ascii="Times New Roman" w:hAnsi="Times New Roman" w:cs="Times New Roman"/>
                <w:bCs/>
                <w:kern w:val="0"/>
                <w:sz w:val="18"/>
                <w:szCs w:val="18"/>
              </w:rPr>
              <w:t>投供应</w:t>
            </w:r>
            <w:proofErr w:type="gramEnd"/>
            <w:r>
              <w:rPr>
                <w:rFonts w:ascii="Times New Roman" w:hAnsi="Times New Roman" w:cs="Times New Roman"/>
                <w:bCs/>
                <w:kern w:val="0"/>
                <w:sz w:val="18"/>
                <w:szCs w:val="18"/>
              </w:rPr>
              <w:t>链运营有限公司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山东晨鸣纸业集团股份有限公司、寿光晨鸣进出口贸易有限公司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福建省厦门市中级人民法院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204,286,000.00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成都思谛欧贸易有限公司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因未能及时偿还借款被原告提起诉讼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成都武侯区法院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13,448,000.00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衢州市</w:t>
            </w:r>
            <w:proofErr w:type="gramStart"/>
            <w:r>
              <w:rPr>
                <w:rFonts w:ascii="Times New Roman" w:hAnsi="Times New Roman" w:cs="Times New Roman"/>
                <w:bCs/>
                <w:kern w:val="0"/>
                <w:sz w:val="18"/>
                <w:szCs w:val="18"/>
              </w:rPr>
              <w:t>衢</w:t>
            </w:r>
            <w:proofErr w:type="gramEnd"/>
            <w:r>
              <w:rPr>
                <w:rFonts w:ascii="Times New Roman" w:hAnsi="Times New Roman" w:cs="Times New Roman"/>
                <w:bCs/>
                <w:kern w:val="0"/>
                <w:sz w:val="18"/>
                <w:szCs w:val="18"/>
              </w:rPr>
              <w:t>江区青</w:t>
            </w:r>
            <w:proofErr w:type="gramStart"/>
            <w:r>
              <w:rPr>
                <w:rFonts w:ascii="Times New Roman" w:hAnsi="Times New Roman" w:cs="Times New Roman"/>
                <w:bCs/>
                <w:kern w:val="0"/>
                <w:sz w:val="18"/>
                <w:szCs w:val="18"/>
              </w:rPr>
              <w:t>衢</w:t>
            </w:r>
            <w:proofErr w:type="gramEnd"/>
            <w:r>
              <w:rPr>
                <w:rFonts w:ascii="Times New Roman" w:hAnsi="Times New Roman" w:cs="Times New Roman"/>
                <w:bCs/>
                <w:kern w:val="0"/>
                <w:sz w:val="18"/>
                <w:szCs w:val="18"/>
              </w:rPr>
              <w:t>产业发展有限公司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衢州市</w:t>
            </w:r>
            <w:proofErr w:type="gramStart"/>
            <w:r>
              <w:rPr>
                <w:rFonts w:ascii="Times New Roman" w:hAnsi="Times New Roman" w:cs="Times New Roman"/>
                <w:bCs/>
                <w:kern w:val="0"/>
                <w:sz w:val="18"/>
                <w:szCs w:val="18"/>
              </w:rPr>
              <w:t>衢</w:t>
            </w:r>
            <w:proofErr w:type="gramEnd"/>
            <w:r>
              <w:rPr>
                <w:rFonts w:ascii="Times New Roman" w:hAnsi="Times New Roman" w:cs="Times New Roman"/>
                <w:bCs/>
                <w:kern w:val="0"/>
                <w:sz w:val="18"/>
                <w:szCs w:val="18"/>
              </w:rPr>
              <w:t>江区法院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101,181,400.00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等待一审判决</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济南域</w:t>
            </w:r>
            <w:proofErr w:type="gramStart"/>
            <w:r>
              <w:rPr>
                <w:rFonts w:ascii="Times New Roman" w:hAnsi="Times New Roman" w:cs="Times New Roman"/>
                <w:bCs/>
                <w:kern w:val="0"/>
                <w:sz w:val="18"/>
                <w:szCs w:val="18"/>
              </w:rPr>
              <w:t>潇</w:t>
            </w:r>
            <w:proofErr w:type="gramEnd"/>
            <w:r>
              <w:rPr>
                <w:rFonts w:ascii="Times New Roman" w:hAnsi="Times New Roman" w:cs="Times New Roman"/>
                <w:bCs/>
                <w:kern w:val="0"/>
                <w:sz w:val="18"/>
                <w:szCs w:val="18"/>
              </w:rPr>
              <w:t>集团有限公司</w:t>
            </w:r>
          </w:p>
        </w:tc>
        <w:tc>
          <w:tcPr>
            <w:tcW w:w="1316"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sz w:val="18"/>
                <w:szCs w:val="18"/>
              </w:rPr>
              <w:t>因未能及时偿还借款被原告提起诉讼</w:t>
            </w:r>
          </w:p>
        </w:tc>
        <w:tc>
          <w:tcPr>
            <w:tcW w:w="1023"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济南市市中区法院</w:t>
            </w:r>
          </w:p>
        </w:tc>
        <w:tc>
          <w:tcPr>
            <w:tcW w:w="439" w:type="pct"/>
            <w:shd w:val="clear" w:color="auto" w:fill="auto"/>
            <w:vAlign w:val="center"/>
          </w:tcPr>
          <w:p w:rsidR="00403CD6" w:rsidRDefault="00E91A59">
            <w:pPr>
              <w:jc w:val="right"/>
              <w:rPr>
                <w:rFonts w:ascii="Times New Roman" w:hAnsi="Times New Roman" w:cs="Times New Roman"/>
                <w:bCs/>
                <w:color w:val="0000FF"/>
                <w:kern w:val="0"/>
                <w:sz w:val="18"/>
                <w:szCs w:val="18"/>
              </w:rPr>
            </w:pPr>
            <w:r>
              <w:rPr>
                <w:rFonts w:ascii="Times New Roman" w:hAnsi="Times New Roman" w:cs="Times New Roman"/>
                <w:bCs/>
                <w:kern w:val="0"/>
                <w:sz w:val="18"/>
                <w:szCs w:val="18"/>
              </w:rPr>
              <w:t>50,000,000.00</w:t>
            </w:r>
          </w:p>
        </w:tc>
        <w:tc>
          <w:tcPr>
            <w:tcW w:w="452" w:type="pct"/>
            <w:shd w:val="clear" w:color="auto" w:fill="auto"/>
            <w:vAlign w:val="center"/>
          </w:tcPr>
          <w:p w:rsidR="00403CD6" w:rsidRDefault="00E91A59">
            <w:pPr>
              <w:rPr>
                <w:rFonts w:ascii="Times New Roman" w:hAnsi="Times New Roman" w:cs="Times New Roman"/>
                <w:bCs/>
                <w:color w:val="0000FF"/>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深圳市融资租赁（集团）有限公司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黄冈晨鸣浆纸有限公司、山东晨鸣纸业集团股份有限公司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江苏扬州广陵区法院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91,958,600.00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泰安银行股份有限公司泰西支行</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因垫付信用证款未付被原告提起诉讼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泰安市岱岳区法院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150,000,000.00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bookmarkStart w:id="162" w:name="_Hlk192061381"/>
            <w:r>
              <w:rPr>
                <w:rFonts w:ascii="Times New Roman" w:hAnsi="Times New Roman" w:cs="Times New Roman"/>
                <w:bCs/>
                <w:kern w:val="0"/>
                <w:sz w:val="18"/>
                <w:szCs w:val="18"/>
              </w:rPr>
              <w:t>抚州市农垦供应链有限公司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吉林晨鸣浆纤贸易有限公司、黄冈晨鸣浆纸有限公司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黄州区人民法院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17,891,000.00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bookmarkEnd w:id="162"/>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proofErr w:type="gramStart"/>
            <w:r>
              <w:rPr>
                <w:rFonts w:ascii="Times New Roman" w:hAnsi="Times New Roman" w:cs="Times New Roman"/>
                <w:bCs/>
                <w:kern w:val="0"/>
                <w:sz w:val="18"/>
                <w:szCs w:val="18"/>
              </w:rPr>
              <w:lastRenderedPageBreak/>
              <w:t>长城国</w:t>
            </w:r>
            <w:proofErr w:type="gramEnd"/>
            <w:r>
              <w:rPr>
                <w:rFonts w:ascii="Times New Roman" w:hAnsi="Times New Roman" w:cs="Times New Roman"/>
                <w:bCs/>
                <w:kern w:val="0"/>
                <w:sz w:val="18"/>
                <w:szCs w:val="18"/>
              </w:rPr>
              <w:t>兴金融租赁有限公司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黄冈晨鸣浆纸有限公司、山东晨鸣纸业集团股份有限公司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武汉武昌区法院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68,225,500.00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华自格兰特环保科技（北京）有限公司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山东晨鸣纸业集团股份有限公司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因工程款到期未付被原告提起诉讼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潍坊中院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103,529,000.00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一审已判决，二审驳回原告上诉</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青州</w:t>
            </w:r>
            <w:proofErr w:type="gramStart"/>
            <w:r>
              <w:rPr>
                <w:rFonts w:ascii="Times New Roman" w:hAnsi="Times New Roman" w:cs="Times New Roman"/>
                <w:bCs/>
                <w:kern w:val="0"/>
                <w:sz w:val="18"/>
                <w:szCs w:val="18"/>
              </w:rPr>
              <w:t>市何官镇</w:t>
            </w:r>
            <w:proofErr w:type="gramEnd"/>
            <w:r>
              <w:rPr>
                <w:rFonts w:ascii="Times New Roman" w:hAnsi="Times New Roman" w:cs="Times New Roman"/>
                <w:bCs/>
                <w:kern w:val="0"/>
                <w:sz w:val="18"/>
                <w:szCs w:val="18"/>
              </w:rPr>
              <w:t>北口埠村村委会</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山东晨鸣纸业集团股份有限公司、</w:t>
            </w:r>
            <w:bookmarkStart w:id="163" w:name="OLE_LINK1"/>
            <w:r>
              <w:rPr>
                <w:rFonts w:ascii="Times New Roman" w:hAnsi="Times New Roman" w:cs="Times New Roman"/>
                <w:bCs/>
                <w:kern w:val="0"/>
                <w:sz w:val="18"/>
                <w:szCs w:val="18"/>
              </w:rPr>
              <w:t>寿光美伦纸业有限责任公司</w:t>
            </w:r>
            <w:bookmarkEnd w:id="163"/>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因土地侵权被原告提起诉讼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青州市法院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bookmarkStart w:id="164" w:name="OLE_LINK38"/>
            <w:bookmarkStart w:id="165" w:name="OLE_LINK39"/>
            <w:r>
              <w:rPr>
                <w:rFonts w:ascii="Times New Roman" w:hAnsi="Times New Roman" w:cs="Times New Roman"/>
                <w:bCs/>
                <w:kern w:val="0"/>
                <w:sz w:val="18"/>
                <w:szCs w:val="18"/>
              </w:rPr>
              <w:t>11,879,000.00</w:t>
            </w:r>
            <w:bookmarkEnd w:id="164"/>
            <w:bookmarkEnd w:id="165"/>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等待一审判决</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青岛地铁融资租赁股份有限公司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寿光美伦纸业有限责任公司、广东晨鸣板材有限责任公司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青岛市市北区法院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34,257,000.00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华自格兰特环保科技（北京）有限公司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因工程款到期未付被原告提起诉讼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湛江市麻章区法院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22,338,000.00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一审已判决，二审驳回原告上诉</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陆川县益众建材有限责任公司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因货款逾期及商票到期未付被原告提起诉讼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陆川县人民法院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15,670,000.00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等待一审判决</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四川长虹民生物流股份有限公司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吉林晨鸣纸业有限责任公司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因货物运输款未付被原告提起诉讼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寿光市法院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12,179,200.00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上海绿地建设</w:t>
            </w:r>
            <w:r>
              <w:rPr>
                <w:rFonts w:ascii="Times New Roman" w:hAnsi="Times New Roman" w:cs="Times New Roman"/>
                <w:bCs/>
                <w:kern w:val="0"/>
                <w:sz w:val="18"/>
                <w:szCs w:val="18"/>
              </w:rPr>
              <w:t>(</w:t>
            </w:r>
            <w:r>
              <w:rPr>
                <w:rFonts w:ascii="Times New Roman" w:hAnsi="Times New Roman" w:cs="Times New Roman"/>
                <w:bCs/>
                <w:kern w:val="0"/>
                <w:sz w:val="18"/>
                <w:szCs w:val="18"/>
              </w:rPr>
              <w:t>集团</w:t>
            </w:r>
            <w:r>
              <w:rPr>
                <w:rFonts w:ascii="Times New Roman" w:hAnsi="Times New Roman" w:cs="Times New Roman"/>
                <w:bCs/>
                <w:kern w:val="0"/>
                <w:sz w:val="18"/>
                <w:szCs w:val="18"/>
              </w:rPr>
              <w:t>)</w:t>
            </w:r>
            <w:r>
              <w:rPr>
                <w:rFonts w:ascii="Times New Roman" w:hAnsi="Times New Roman" w:cs="Times New Roman"/>
                <w:bCs/>
                <w:kern w:val="0"/>
                <w:sz w:val="18"/>
                <w:szCs w:val="18"/>
              </w:rPr>
              <w:t>有限公司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崇闵文化发展（上海）有限公司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因工程款到期未付被原告提起诉讼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上海市闵行区法院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39,998,000.00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等待一审判决</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上海影梦世纪商业管理有限责任公司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上海鸿泰房地产有限公司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因房屋租赁纠纷被原告提起诉讼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上海市虹口区法院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93,887,000.00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bookmarkStart w:id="166" w:name="OLE_LINK4"/>
            <w:r>
              <w:rPr>
                <w:rFonts w:ascii="Times New Roman" w:hAnsi="Times New Roman" w:cs="Times New Roman"/>
                <w:bCs/>
                <w:kern w:val="0"/>
                <w:sz w:val="18"/>
                <w:szCs w:val="18"/>
              </w:rPr>
              <w:t>等待一审判决</w:t>
            </w:r>
            <w:bookmarkEnd w:id="166"/>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四川南充港务有限责任公司</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山东晨鸣纸业销售有限公司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因货款逾期未付被原告提起诉讼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寿光市法院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84,770,000.00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一审已判决，二审上诉中</w:t>
            </w:r>
          </w:p>
        </w:tc>
      </w:tr>
      <w:tr w:rsidR="00403CD6">
        <w:trPr>
          <w:cantSplit/>
          <w:trHeight w:val="340"/>
          <w:jc w:val="center"/>
        </w:trPr>
        <w:tc>
          <w:tcPr>
            <w:tcW w:w="819"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民生银行魏公村支行</w:t>
            </w:r>
          </w:p>
        </w:tc>
        <w:tc>
          <w:tcPr>
            <w:tcW w:w="1316"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山东晨鸣纸业销售有限公司</w:t>
            </w:r>
          </w:p>
        </w:tc>
        <w:tc>
          <w:tcPr>
            <w:tcW w:w="951"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因垫付信用证款未付被原告提起诉讼</w:t>
            </w:r>
          </w:p>
        </w:tc>
        <w:tc>
          <w:tcPr>
            <w:tcW w:w="1023"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北京金融法院</w:t>
            </w: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200,005,000.00</w:t>
            </w:r>
          </w:p>
        </w:tc>
        <w:tc>
          <w:tcPr>
            <w:tcW w:w="452" w:type="pct"/>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等待一审判决</w:t>
            </w:r>
          </w:p>
        </w:tc>
      </w:tr>
      <w:tr w:rsidR="00403CD6">
        <w:trPr>
          <w:cantSplit/>
          <w:trHeight w:val="340"/>
          <w:jc w:val="center"/>
        </w:trPr>
        <w:tc>
          <w:tcPr>
            <w:tcW w:w="819" w:type="pct"/>
            <w:shd w:val="clear" w:color="auto" w:fill="auto"/>
            <w:vAlign w:val="center"/>
          </w:tcPr>
          <w:p w:rsidR="00403CD6" w:rsidRDefault="00E91A59">
            <w:pPr>
              <w:jc w:val="center"/>
              <w:rPr>
                <w:rFonts w:ascii="Times New Roman" w:hAnsi="Times New Roman" w:cs="Times New Roman"/>
                <w:bCs/>
                <w:kern w:val="0"/>
                <w:sz w:val="18"/>
                <w:szCs w:val="18"/>
              </w:rPr>
            </w:pPr>
            <w:r>
              <w:rPr>
                <w:rFonts w:ascii="宋体" w:eastAsia="宋体" w:hAnsi="宋体" w:cs="宋体" w:hint="eastAsia"/>
                <w:kern w:val="0"/>
                <w:sz w:val="18"/>
                <w:szCs w:val="18"/>
              </w:rPr>
              <w:t>合计</w:t>
            </w:r>
          </w:p>
        </w:tc>
        <w:tc>
          <w:tcPr>
            <w:tcW w:w="1316" w:type="pct"/>
            <w:shd w:val="clear" w:color="auto" w:fill="auto"/>
            <w:vAlign w:val="center"/>
          </w:tcPr>
          <w:p w:rsidR="00403CD6" w:rsidRDefault="00403CD6">
            <w:pPr>
              <w:rPr>
                <w:rFonts w:ascii="Times New Roman" w:hAnsi="Times New Roman" w:cs="Times New Roman"/>
                <w:bCs/>
                <w:kern w:val="0"/>
                <w:sz w:val="18"/>
                <w:szCs w:val="18"/>
              </w:rPr>
            </w:pPr>
          </w:p>
        </w:tc>
        <w:tc>
          <w:tcPr>
            <w:tcW w:w="951" w:type="pct"/>
            <w:shd w:val="clear" w:color="auto" w:fill="auto"/>
            <w:vAlign w:val="center"/>
          </w:tcPr>
          <w:p w:rsidR="00403CD6" w:rsidRDefault="00403CD6">
            <w:pPr>
              <w:rPr>
                <w:rFonts w:ascii="Times New Roman" w:hAnsi="Times New Roman" w:cs="Times New Roman"/>
                <w:bCs/>
                <w:kern w:val="0"/>
                <w:sz w:val="18"/>
                <w:szCs w:val="18"/>
              </w:rPr>
            </w:pPr>
          </w:p>
        </w:tc>
        <w:tc>
          <w:tcPr>
            <w:tcW w:w="1023" w:type="pct"/>
            <w:shd w:val="clear" w:color="auto" w:fill="auto"/>
            <w:vAlign w:val="center"/>
          </w:tcPr>
          <w:p w:rsidR="00403CD6" w:rsidRDefault="00403CD6">
            <w:pPr>
              <w:rPr>
                <w:rFonts w:ascii="Times New Roman" w:hAnsi="Times New Roman" w:cs="Times New Roman"/>
                <w:bCs/>
                <w:kern w:val="0"/>
                <w:sz w:val="18"/>
                <w:szCs w:val="18"/>
              </w:rPr>
            </w:pPr>
          </w:p>
        </w:tc>
        <w:tc>
          <w:tcPr>
            <w:tcW w:w="439" w:type="pct"/>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eastAsia="仿宋_GB2312" w:hAnsi="Times New Roman" w:cs="Times New Roman"/>
                <w:kern w:val="0"/>
                <w:sz w:val="18"/>
                <w:szCs w:val="18"/>
              </w:rPr>
              <w:t>2,492,123,050.00</w:t>
            </w:r>
          </w:p>
        </w:tc>
        <w:tc>
          <w:tcPr>
            <w:tcW w:w="452" w:type="pct"/>
            <w:shd w:val="clear" w:color="auto" w:fill="auto"/>
            <w:vAlign w:val="center"/>
          </w:tcPr>
          <w:p w:rsidR="00403CD6" w:rsidRDefault="00403CD6">
            <w:pPr>
              <w:rPr>
                <w:rFonts w:ascii="Times New Roman" w:hAnsi="Times New Roman" w:cs="Times New Roman"/>
                <w:bCs/>
                <w:kern w:val="0"/>
                <w:sz w:val="18"/>
                <w:szCs w:val="18"/>
              </w:rPr>
            </w:pPr>
          </w:p>
        </w:tc>
      </w:tr>
    </w:tbl>
    <w:p w:rsidR="00403CD6" w:rsidRDefault="00E91A59">
      <w:pPr>
        <w:pStyle w:val="3"/>
        <w:numPr>
          <w:ilvl w:val="0"/>
          <w:numId w:val="0"/>
        </w:numPr>
        <w:spacing w:before="156" w:after="280"/>
        <w:rPr>
          <w:rFonts w:ascii="Times New Roman" w:eastAsiaTheme="minorEastAsia" w:hAnsi="Times New Roman"/>
          <w:bCs w:val="0"/>
          <w:sz w:val="18"/>
          <w:szCs w:val="18"/>
        </w:rPr>
      </w:pPr>
      <w:r>
        <w:rPr>
          <w:rFonts w:ascii="Times New Roman" w:eastAsiaTheme="minorEastAsia" w:hAnsi="Times New Roman" w:hint="eastAsia"/>
          <w:bCs w:val="0"/>
          <w:sz w:val="18"/>
          <w:szCs w:val="18"/>
        </w:rPr>
        <w:t>（</w:t>
      </w:r>
      <w:r>
        <w:rPr>
          <w:rFonts w:ascii="Times New Roman" w:eastAsiaTheme="minorEastAsia" w:hAnsi="Times New Roman" w:hint="eastAsia"/>
          <w:bCs w:val="0"/>
          <w:sz w:val="18"/>
          <w:szCs w:val="18"/>
        </w:rPr>
        <w:t>2</w:t>
      </w:r>
      <w:r>
        <w:rPr>
          <w:rFonts w:ascii="Times New Roman" w:eastAsiaTheme="minorEastAsia" w:hAnsi="Times New Roman" w:hint="eastAsia"/>
          <w:bCs w:val="0"/>
          <w:sz w:val="18"/>
          <w:szCs w:val="18"/>
        </w:rPr>
        <w:t>）股权冻结情况</w:t>
      </w:r>
    </w:p>
    <w:p w:rsidR="00403CD6" w:rsidRDefault="00E91A59">
      <w:pPr>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t>本公司对子公司的股权投资因债务逾期或者融资担保等原因而被质押情况如下：</w:t>
      </w:r>
    </w:p>
    <w:tbl>
      <w:tblPr>
        <w:tblW w:w="5000" w:type="pct"/>
        <w:jc w:val="center"/>
        <w:tblBorders>
          <w:top w:val="single" w:sz="8" w:space="0" w:color="auto"/>
          <w:bottom w:val="single" w:sz="8" w:space="0" w:color="auto"/>
        </w:tblBorders>
        <w:tblLook w:val="04A0" w:firstRow="1" w:lastRow="0" w:firstColumn="1" w:lastColumn="0" w:noHBand="0" w:noVBand="1"/>
      </w:tblPr>
      <w:tblGrid>
        <w:gridCol w:w="4284"/>
        <w:gridCol w:w="5569"/>
      </w:tblGrid>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被质押股权单位</w:t>
            </w:r>
          </w:p>
        </w:tc>
        <w:tc>
          <w:tcPr>
            <w:tcW w:w="282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质权人</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崇闵文化发展（上海）有限公司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 xml:space="preserve">山西富银工贸有限公司 </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上海和</w:t>
            </w:r>
            <w:proofErr w:type="gramStart"/>
            <w:r>
              <w:rPr>
                <w:rFonts w:asciiTheme="minorEastAsia" w:hAnsiTheme="minorEastAsia" w:cstheme="minorEastAsia" w:hint="eastAsia"/>
                <w:bCs/>
                <w:kern w:val="0"/>
                <w:sz w:val="18"/>
                <w:szCs w:val="18"/>
              </w:rPr>
              <w:t>睿</w:t>
            </w:r>
            <w:proofErr w:type="gramEnd"/>
            <w:r>
              <w:rPr>
                <w:rFonts w:asciiTheme="minorEastAsia" w:hAnsiTheme="minorEastAsia" w:cstheme="minorEastAsia" w:hint="eastAsia"/>
                <w:bCs/>
                <w:kern w:val="0"/>
                <w:sz w:val="18"/>
                <w:szCs w:val="18"/>
              </w:rPr>
              <w:t>鸣物业管理有限公司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 xml:space="preserve">物产中大资产管理（浙江）有限公司 </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上海晨鸣实业有限公司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 xml:space="preserve">寿光市惠农新农村建设投资开发有限公司 </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上海晨鸣实业有限公司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 xml:space="preserve">寿光市金财公有资产经营有限公司 </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上海晨鸣实业有限公司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寿光市</w:t>
            </w:r>
            <w:proofErr w:type="gramStart"/>
            <w:r>
              <w:rPr>
                <w:rFonts w:asciiTheme="minorEastAsia" w:hAnsiTheme="minorEastAsia" w:cstheme="minorEastAsia" w:hint="eastAsia"/>
                <w:bCs/>
                <w:kern w:val="0"/>
                <w:sz w:val="18"/>
                <w:szCs w:val="18"/>
              </w:rPr>
              <w:t>金晨贸易</w:t>
            </w:r>
            <w:proofErr w:type="gramEnd"/>
            <w:r>
              <w:rPr>
                <w:rFonts w:asciiTheme="minorEastAsia" w:hAnsiTheme="minorEastAsia" w:cstheme="minorEastAsia" w:hint="eastAsia"/>
                <w:bCs/>
                <w:kern w:val="0"/>
                <w:sz w:val="18"/>
                <w:szCs w:val="18"/>
              </w:rPr>
              <w:t xml:space="preserve">有限公司 </w:t>
            </w:r>
          </w:p>
        </w:tc>
      </w:tr>
      <w:tr w:rsidR="00403CD6">
        <w:trPr>
          <w:cantSplit/>
          <w:trHeight w:val="340"/>
          <w:jc w:val="center"/>
        </w:trPr>
        <w:tc>
          <w:tcPr>
            <w:tcW w:w="217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黄冈晨鸣港口服务有限公司</w:t>
            </w:r>
          </w:p>
        </w:tc>
        <w:tc>
          <w:tcPr>
            <w:tcW w:w="2826"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heme="minorEastAsia" w:hAnsiTheme="minorEastAsia" w:cstheme="minorEastAsia"/>
                <w:bCs/>
                <w:kern w:val="0"/>
                <w:sz w:val="18"/>
                <w:szCs w:val="18"/>
              </w:rPr>
            </w:pPr>
            <w:r>
              <w:rPr>
                <w:rFonts w:asciiTheme="minorEastAsia" w:hAnsiTheme="minorEastAsia" w:cstheme="minorEastAsia" w:hint="eastAsia"/>
                <w:bCs/>
                <w:kern w:val="0"/>
                <w:sz w:val="18"/>
                <w:szCs w:val="18"/>
              </w:rPr>
              <w:t>湖北港口</w:t>
            </w:r>
            <w:proofErr w:type="gramStart"/>
            <w:r>
              <w:rPr>
                <w:rFonts w:asciiTheme="minorEastAsia" w:hAnsiTheme="minorEastAsia" w:cstheme="minorEastAsia" w:hint="eastAsia"/>
                <w:bCs/>
                <w:kern w:val="0"/>
                <w:sz w:val="18"/>
                <w:szCs w:val="18"/>
              </w:rPr>
              <w:t>商业保理有限公司</w:t>
            </w:r>
            <w:proofErr w:type="gramEnd"/>
          </w:p>
        </w:tc>
      </w:tr>
    </w:tbl>
    <w:p w:rsidR="00403CD6" w:rsidRDefault="00E91A59">
      <w:pPr>
        <w:snapToGrid w:val="0"/>
        <w:spacing w:beforeLines="50" w:before="156" w:afterLines="90" w:after="280"/>
        <w:rPr>
          <w:rFonts w:ascii="Times New Roman" w:hAnsi="Times New Roman" w:cs="Times New Roman"/>
          <w:sz w:val="18"/>
          <w:szCs w:val="18"/>
        </w:rPr>
      </w:pPr>
      <w:r>
        <w:rPr>
          <w:rFonts w:ascii="Times New Roman" w:hAnsi="Times New Roman" w:cs="Times New Roman"/>
          <w:sz w:val="18"/>
          <w:szCs w:val="18"/>
        </w:rPr>
        <w:t>截至</w:t>
      </w:r>
      <w:r>
        <w:rPr>
          <w:rFonts w:ascii="Times New Roman" w:hAnsi="Times New Roman" w:cs="Times New Roman"/>
          <w:kern w:val="0"/>
          <w:sz w:val="18"/>
          <w:szCs w:val="18"/>
        </w:rPr>
        <w:t>2024</w:t>
      </w:r>
      <w:r>
        <w:rPr>
          <w:rFonts w:ascii="Times New Roman" w:hAnsi="Times New Roman" w:cs="Times New Roman"/>
          <w:kern w:val="0"/>
          <w:sz w:val="18"/>
          <w:szCs w:val="18"/>
        </w:rPr>
        <w:t>年</w:t>
      </w:r>
      <w:r>
        <w:rPr>
          <w:rFonts w:ascii="Times New Roman" w:hAnsi="Times New Roman" w:cs="Times New Roman"/>
          <w:kern w:val="0"/>
          <w:sz w:val="18"/>
          <w:szCs w:val="18"/>
        </w:rPr>
        <w:t>12</w:t>
      </w:r>
      <w:r>
        <w:rPr>
          <w:rFonts w:ascii="Times New Roman" w:hAnsi="Times New Roman" w:cs="Times New Roman"/>
          <w:kern w:val="0"/>
          <w:sz w:val="18"/>
          <w:szCs w:val="18"/>
        </w:rPr>
        <w:t>月</w:t>
      </w:r>
      <w:r>
        <w:rPr>
          <w:rFonts w:ascii="Times New Roman" w:hAnsi="Times New Roman" w:cs="Times New Roman"/>
          <w:kern w:val="0"/>
          <w:sz w:val="18"/>
          <w:szCs w:val="18"/>
        </w:rPr>
        <w:t>31</w:t>
      </w:r>
      <w:r>
        <w:rPr>
          <w:rFonts w:ascii="Times New Roman" w:hAnsi="Times New Roman" w:cs="Times New Roman"/>
          <w:kern w:val="0"/>
          <w:sz w:val="18"/>
          <w:szCs w:val="18"/>
        </w:rPr>
        <w:t>日</w:t>
      </w:r>
      <w:r>
        <w:rPr>
          <w:rFonts w:ascii="Times New Roman" w:hAnsi="Times New Roman" w:cs="Times New Roman"/>
          <w:sz w:val="18"/>
          <w:szCs w:val="18"/>
        </w:rPr>
        <w:t>，本公司不存在其他应披露的或有事项。</w:t>
      </w:r>
    </w:p>
    <w:p w:rsidR="00403CD6" w:rsidRDefault="00E91A59">
      <w:pPr>
        <w:pStyle w:val="2"/>
        <w:spacing w:before="300" w:after="300" w:line="320" w:lineRule="exact"/>
        <w:rPr>
          <w:rFonts w:ascii="宋体" w:eastAsia="宋体" w:hAnsi="宋体" w:cs="宋体"/>
          <w:b/>
          <w:bCs/>
          <w:sz w:val="24"/>
          <w:szCs w:val="24"/>
        </w:rPr>
      </w:pPr>
      <w:bookmarkStart w:id="167" w:name="_Toc989513"/>
      <w:r>
        <w:rPr>
          <w:rFonts w:ascii="宋体" w:eastAsia="宋体" w:hAnsi="宋体" w:cs="宋体" w:hint="eastAsia"/>
          <w:b/>
          <w:bCs/>
          <w:sz w:val="24"/>
          <w:szCs w:val="24"/>
        </w:rPr>
        <w:lastRenderedPageBreak/>
        <w:t>十七、资产负债表日后事项</w:t>
      </w:r>
      <w:bookmarkEnd w:id="167"/>
    </w:p>
    <w:p w:rsidR="00403CD6" w:rsidRDefault="00E91A59">
      <w:pPr>
        <w:pStyle w:val="2"/>
        <w:rPr>
          <w:rFonts w:asciiTheme="minorEastAsia" w:hAnsiTheme="minorEastAsia" w:cstheme="minorEastAsia"/>
          <w:b/>
          <w:bCs/>
        </w:rPr>
      </w:pPr>
      <w:bookmarkStart w:id="168" w:name="_Toc989514"/>
      <w:r>
        <w:rPr>
          <w:rFonts w:asciiTheme="minorEastAsia" w:hAnsiTheme="minorEastAsia" w:cstheme="minorEastAsia" w:hint="eastAsia"/>
          <w:b/>
          <w:bCs/>
        </w:rPr>
        <w:t>1、其他资产负债表日后事项说明</w:t>
      </w:r>
    </w:p>
    <w:p w:rsidR="00403CD6" w:rsidRDefault="00E91A59">
      <w:pPr>
        <w:pStyle w:val="30"/>
        <w:numPr>
          <w:ilvl w:val="0"/>
          <w:numId w:val="3"/>
        </w:numPr>
        <w:spacing w:line="280" w:lineRule="exact"/>
        <w:jc w:val="left"/>
        <w:rPr>
          <w:rFonts w:asciiTheme="minorEastAsia" w:eastAsiaTheme="minorEastAsia" w:hAnsiTheme="minorEastAsia" w:cstheme="minorEastAsia"/>
          <w:bCs w:val="0"/>
          <w:sz w:val="18"/>
          <w:szCs w:val="18"/>
        </w:rPr>
      </w:pPr>
      <w:r>
        <w:rPr>
          <w:rFonts w:asciiTheme="minorEastAsia" w:eastAsiaTheme="minorEastAsia" w:hAnsiTheme="minorEastAsia" w:cstheme="minorEastAsia" w:hint="eastAsia"/>
          <w:bCs w:val="0"/>
          <w:sz w:val="18"/>
          <w:szCs w:val="18"/>
        </w:rPr>
        <w:t>重要的资产负债表日后诉讼事项</w:t>
      </w:r>
    </w:p>
    <w:p w:rsidR="00403CD6" w:rsidRDefault="00E91A59">
      <w:pPr>
        <w:spacing w:before="100" w:after="100" w:line="240" w:lineRule="exact"/>
        <w:jc w:val="right"/>
        <w:rPr>
          <w:rFonts w:ascii="Times New Roman" w:eastAsia="宋体" w:hAnsi="Times New Roman" w:cs="Times New Roman"/>
          <w:sz w:val="18"/>
          <w:szCs w:val="18"/>
        </w:rPr>
      </w:pPr>
      <w:r>
        <w:rPr>
          <w:rFonts w:ascii="Times New Roman" w:eastAsia="宋体" w:hAnsi="Times New Roman" w:cs="Times New Roman" w:hint="eastAsia"/>
          <w:sz w:val="18"/>
          <w:szCs w:val="18"/>
        </w:rPr>
        <w:t>单位：元</w:t>
      </w:r>
    </w:p>
    <w:tbl>
      <w:tblPr>
        <w:tblW w:w="5000" w:type="pct"/>
        <w:jc w:val="center"/>
        <w:tblBorders>
          <w:top w:val="single" w:sz="8" w:space="0" w:color="auto"/>
          <w:bottom w:val="single" w:sz="8" w:space="0" w:color="auto"/>
        </w:tblBorders>
        <w:tblLayout w:type="fixed"/>
        <w:tblCellMar>
          <w:left w:w="28" w:type="dxa"/>
          <w:right w:w="28" w:type="dxa"/>
        </w:tblCellMar>
        <w:tblLook w:val="04A0" w:firstRow="1" w:lastRow="0" w:firstColumn="1" w:lastColumn="0" w:noHBand="0" w:noVBand="1"/>
      </w:tblPr>
      <w:tblGrid>
        <w:gridCol w:w="1871"/>
        <w:gridCol w:w="2836"/>
        <w:gridCol w:w="1985"/>
        <w:gridCol w:w="1417"/>
        <w:gridCol w:w="849"/>
        <w:gridCol w:w="735"/>
      </w:tblGrid>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原告</w:t>
            </w:r>
          </w:p>
        </w:tc>
        <w:tc>
          <w:tcPr>
            <w:tcW w:w="14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被告</w:t>
            </w:r>
          </w:p>
        </w:tc>
        <w:tc>
          <w:tcPr>
            <w:tcW w:w="102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案由</w:t>
            </w:r>
          </w:p>
        </w:tc>
        <w:tc>
          <w:tcPr>
            <w:tcW w:w="73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受理法院</w:t>
            </w:r>
          </w:p>
        </w:tc>
        <w:tc>
          <w:tcPr>
            <w:tcW w:w="43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标的额</w:t>
            </w:r>
          </w:p>
        </w:tc>
        <w:tc>
          <w:tcPr>
            <w:tcW w:w="37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案件进展情况</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proofErr w:type="gramStart"/>
            <w:r>
              <w:rPr>
                <w:rFonts w:ascii="Times New Roman" w:hAnsi="Times New Roman" w:cs="Times New Roman"/>
                <w:bCs/>
                <w:kern w:val="0"/>
                <w:sz w:val="18"/>
                <w:szCs w:val="18"/>
              </w:rPr>
              <w:t>中集永发</w:t>
            </w:r>
            <w:proofErr w:type="gramEnd"/>
            <w:r>
              <w:rPr>
                <w:rFonts w:ascii="Times New Roman" w:hAnsi="Times New Roman" w:cs="Times New Roman"/>
                <w:bCs/>
                <w:kern w:val="0"/>
                <w:sz w:val="18"/>
                <w:szCs w:val="18"/>
              </w:rPr>
              <w:t>（天津）融资租赁有限公司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寿光美伦纸业有限责任公司、山东晨鸣纸业集团股份有限公司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bookmarkStart w:id="169" w:name="OLE_LINK19"/>
            <w:r>
              <w:rPr>
                <w:rFonts w:ascii="Times New Roman" w:hAnsi="Times New Roman" w:cs="Times New Roman"/>
                <w:bCs/>
                <w:kern w:val="0"/>
                <w:sz w:val="18"/>
                <w:szCs w:val="18"/>
              </w:rPr>
              <w:t>因融资租赁租金到期未付被原告提起诉讼</w:t>
            </w:r>
            <w:bookmarkEnd w:id="169"/>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广东省深圳市南山区人民法院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11,228,700.00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proofErr w:type="gramStart"/>
            <w:r>
              <w:rPr>
                <w:rFonts w:ascii="Times New Roman" w:hAnsi="Times New Roman" w:cs="Times New Roman"/>
                <w:bCs/>
                <w:kern w:val="0"/>
                <w:sz w:val="18"/>
                <w:szCs w:val="18"/>
              </w:rPr>
              <w:t>中集永发</w:t>
            </w:r>
            <w:proofErr w:type="gramEnd"/>
            <w:r>
              <w:rPr>
                <w:rFonts w:ascii="Times New Roman" w:hAnsi="Times New Roman" w:cs="Times New Roman"/>
                <w:bCs/>
                <w:kern w:val="0"/>
                <w:sz w:val="18"/>
                <w:szCs w:val="18"/>
              </w:rPr>
              <w:t>（天津）融资租赁有限公司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广东省深圳市南山区人民法院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73,038,000.00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bookmarkStart w:id="170" w:name="OLE_LINK5"/>
            <w:bookmarkStart w:id="171" w:name="OLE_LINK6"/>
            <w:r>
              <w:rPr>
                <w:rFonts w:ascii="Times New Roman" w:hAnsi="Times New Roman" w:cs="Times New Roman"/>
                <w:bCs/>
                <w:kern w:val="0"/>
                <w:sz w:val="18"/>
                <w:szCs w:val="18"/>
              </w:rPr>
              <w:t>等待一审开庭</w:t>
            </w:r>
            <w:bookmarkEnd w:id="170"/>
            <w:bookmarkEnd w:id="171"/>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厦门恒</w:t>
            </w:r>
            <w:proofErr w:type="gramStart"/>
            <w:r>
              <w:rPr>
                <w:rFonts w:ascii="Times New Roman" w:hAnsi="Times New Roman" w:cs="Times New Roman"/>
                <w:bCs/>
                <w:kern w:val="0"/>
                <w:sz w:val="18"/>
                <w:szCs w:val="18"/>
              </w:rPr>
              <w:t>沣</w:t>
            </w:r>
            <w:proofErr w:type="gramEnd"/>
            <w:r>
              <w:rPr>
                <w:rFonts w:ascii="Times New Roman" w:hAnsi="Times New Roman" w:cs="Times New Roman"/>
                <w:bCs/>
                <w:kern w:val="0"/>
                <w:sz w:val="18"/>
                <w:szCs w:val="18"/>
              </w:rPr>
              <w:t>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寿光美伦纸业有限责任公司、山东晨鸣纸业集团股份有限公司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厦门市湖里区人民法院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37,108,000.00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heme="minorEastAsia" w:hAnsiTheme="minorEastAsia" w:cs="宋体" w:hint="eastAsia"/>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湖北国际贸易集团有限公司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寿光晨鸣进出口贸易有限公司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因货款逾期未付被原告提起诉讼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武汉市中级人民法院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131,806,900.00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wordWrap w:val="0"/>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韩国产业银行青岛分行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寿光美伦纸业有限责任公司、山东晨鸣纸业集团股份有限公司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青岛市中院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72,016,700.00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中国银行股份有限公司湛江分行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因未能及时偿还借款及垫付票款未付被原告提起诉讼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201,289,000.00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wordWrap w:val="0"/>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上海电气融资租赁有限公司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寿光美伦纸业有限责任公司、山东晨鸣纸业集团股份有限公司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上海市浦东新区法院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51,212,600.00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山东港口小额贷款有限公司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寿光晨鸣进出口贸易有限公司、山东晨鸣纸业集团股份有限公司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bookmarkStart w:id="172" w:name="OLE_LINK21"/>
            <w:bookmarkStart w:id="173" w:name="OLE_LINK20"/>
            <w:r>
              <w:rPr>
                <w:rFonts w:ascii="Times New Roman" w:hAnsi="Times New Roman" w:cs="Times New Roman"/>
                <w:bCs/>
                <w:sz w:val="18"/>
                <w:szCs w:val="18"/>
              </w:rPr>
              <w:t>因未能及时偿还借款被原告提起诉讼</w:t>
            </w:r>
            <w:bookmarkEnd w:id="172"/>
            <w:bookmarkEnd w:id="173"/>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青岛市市北区人民法院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75,206,300.00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湖北港口</w:t>
            </w:r>
            <w:proofErr w:type="gramStart"/>
            <w:r>
              <w:rPr>
                <w:rFonts w:ascii="Times New Roman" w:hAnsi="Times New Roman" w:cs="Times New Roman"/>
                <w:bCs/>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黄冈晨鸣浆纸有限公司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因商业</w:t>
            </w:r>
            <w:proofErr w:type="gramStart"/>
            <w:r>
              <w:rPr>
                <w:rFonts w:ascii="Times New Roman" w:hAnsi="Times New Roman" w:cs="Times New Roman"/>
                <w:bCs/>
                <w:kern w:val="0"/>
                <w:sz w:val="18"/>
                <w:szCs w:val="18"/>
              </w:rPr>
              <w:t>保理款</w:t>
            </w:r>
            <w:proofErr w:type="gramEnd"/>
            <w:r>
              <w:rPr>
                <w:rFonts w:ascii="Times New Roman" w:hAnsi="Times New Roman" w:cs="Times New Roman"/>
                <w:bCs/>
                <w:kern w:val="0"/>
                <w:sz w:val="18"/>
                <w:szCs w:val="18"/>
              </w:rPr>
              <w:t>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武汉市江汉区人民法院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80,000,000.00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bookmarkStart w:id="174" w:name="OLE_LINK16"/>
            <w:bookmarkStart w:id="175" w:name="OLE_LINK15"/>
            <w:r>
              <w:rPr>
                <w:rFonts w:ascii="Times New Roman" w:hAnsi="Times New Roman" w:cs="Times New Roman"/>
                <w:bCs/>
                <w:kern w:val="0"/>
                <w:sz w:val="18"/>
                <w:szCs w:val="18"/>
              </w:rPr>
              <w:t>天津银行股份有限公司济南分行</w:t>
            </w:r>
            <w:bookmarkEnd w:id="174"/>
            <w:bookmarkEnd w:id="175"/>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山东晨鸣投资有限公司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济南市中区法院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232,984,000.00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皖江金融租赁股份有限公司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黄冈晨鸣浆纸有限公司、山东晨鸣纸业集团股份有限公司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安徽省芜湖市鸠江区法院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2,0188,400.00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中国进出口银行广东省分行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广州市中级人民法院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100,000,000.00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等待一审开庭</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兴业银行股份有限公司湛江分行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269,880,000.00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广发银行股份有限公司湛江分行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因垫付票款未付被原告提起诉讼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104,572,800.00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bookmarkStart w:id="176" w:name="OLE_LINK18"/>
            <w:bookmarkStart w:id="177" w:name="OLE_LINK17"/>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bookmarkEnd w:id="176"/>
            <w:bookmarkEnd w:id="177"/>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广发银行股份有限公司湛江分行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湛江晨鸣浆纸有限公司、山东晨鸣纸业集团股份有限公司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bCs/>
                <w:kern w:val="0"/>
                <w:sz w:val="18"/>
                <w:szCs w:val="18"/>
              </w:rPr>
              <w:t>湛江市中级人民法院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447,500,000.00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等待一审</w:t>
            </w:r>
            <w:r w:rsidR="00F60653" w:rsidRPr="004E1CA6">
              <w:rPr>
                <w:rFonts w:ascii="Times New Roman" w:hAnsi="Times New Roman" w:cs="Times New Roman" w:hint="eastAsia"/>
                <w:bCs/>
                <w:kern w:val="0"/>
                <w:sz w:val="18"/>
                <w:szCs w:val="18"/>
              </w:rPr>
              <w:t>判决</w:t>
            </w:r>
          </w:p>
        </w:tc>
      </w:tr>
      <w:tr w:rsidR="00403CD6">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kern w:val="0"/>
                <w:sz w:val="18"/>
                <w:szCs w:val="18"/>
              </w:rPr>
              <w:t>立根融资租赁有限公司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kern w:val="0"/>
                <w:sz w:val="18"/>
                <w:szCs w:val="18"/>
              </w:rPr>
              <w:t>湛江晨鸣浆纸有限公司</w:t>
            </w:r>
            <w:r>
              <w:rPr>
                <w:rFonts w:ascii="Times New Roman" w:hAnsi="Times New Roman" w:cs="Times New Roman" w:hint="eastAsia"/>
                <w:kern w:val="0"/>
                <w:sz w:val="18"/>
                <w:szCs w:val="18"/>
              </w:rPr>
              <w:t>、</w:t>
            </w:r>
            <w:r>
              <w:rPr>
                <w:rFonts w:ascii="Times New Roman" w:hAnsi="Times New Roman" w:cs="Times New Roman"/>
                <w:kern w:val="0"/>
                <w:sz w:val="18"/>
                <w:szCs w:val="18"/>
              </w:rPr>
              <w:t>山东晨鸣纸业集团股份有限公司</w:t>
            </w:r>
            <w:r>
              <w:rPr>
                <w:rFonts w:ascii="Times New Roman" w:hAnsi="Times New Roman" w:cs="Times New Roman" w:hint="eastAsia"/>
                <w:kern w:val="0"/>
                <w:sz w:val="18"/>
                <w:szCs w:val="18"/>
              </w:rPr>
              <w:t>、</w:t>
            </w:r>
            <w:r>
              <w:rPr>
                <w:rFonts w:ascii="Times New Roman" w:hAnsi="Times New Roman" w:cs="Times New Roman"/>
                <w:kern w:val="0"/>
                <w:sz w:val="18"/>
                <w:szCs w:val="18"/>
              </w:rPr>
              <w:t>广州晨鸣物业管理有限公司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sz w:val="18"/>
                <w:szCs w:val="18"/>
              </w:rPr>
            </w:pPr>
            <w:r>
              <w:rPr>
                <w:rFonts w:ascii="Times New Roman" w:hAnsi="Times New Roman" w:cs="Times New Roman"/>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rPr>
                <w:rFonts w:ascii="Times New Roman" w:hAnsi="Times New Roman" w:cs="Times New Roman"/>
                <w:bCs/>
                <w:kern w:val="0"/>
                <w:sz w:val="18"/>
                <w:szCs w:val="18"/>
              </w:rPr>
            </w:pPr>
            <w:r>
              <w:rPr>
                <w:rFonts w:ascii="Times New Roman" w:hAnsi="Times New Roman" w:cs="Times New Roman"/>
                <w:kern w:val="0"/>
                <w:sz w:val="18"/>
                <w:szCs w:val="18"/>
              </w:rPr>
              <w:t>广州市天河区人民法院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kern w:val="0"/>
                <w:sz w:val="18"/>
                <w:szCs w:val="18"/>
              </w:rPr>
              <w:t>65,289,000.00</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广东南粤银行股份有限公司海棠支行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山东晨鸣纸业集团股份有限公司、寿光晨鸣进出口贸易有限公司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湛江市中级人民法院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317,590,000.00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湛江雷林工业有限公司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湛江市麻章区人民法院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60,804,000.00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交通银行股份有限公司吉林分行</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山东晨鸣纸业集团股份有限公司、吉林晨鸣纸业有限责任公司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吉林市昌邑区法院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50,000,000.00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杭州城投实业有限公司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杭州市上城区法院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48,887,500.00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青岛国晟融资租赁有限公司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r w:rsidRPr="004E1CA6">
              <w:rPr>
                <w:rFonts w:ascii="Times New Roman" w:hAnsi="Times New Roman" w:cs="Times New Roman"/>
                <w:kern w:val="0"/>
                <w:sz w:val="18"/>
                <w:szCs w:val="18"/>
              </w:rPr>
              <w:t xml:space="preserve"> </w:t>
            </w:r>
            <w:r w:rsidRPr="004E1CA6">
              <w:rPr>
                <w:rFonts w:ascii="Times New Roman" w:hAnsi="Times New Roman" w:cs="Times New Roman"/>
                <w:kern w:val="0"/>
                <w:sz w:val="18"/>
                <w:szCs w:val="18"/>
              </w:rPr>
              <w:t>寿光美伦纸业有限责任公司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青岛市市北区法院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29,217,800.00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lastRenderedPageBreak/>
              <w:t>珠海正方商贸有限公司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珠海市香洲区人民法院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15,192,800.00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上海</w:t>
            </w:r>
            <w:proofErr w:type="gramStart"/>
            <w:r w:rsidRPr="004E1CA6">
              <w:rPr>
                <w:rFonts w:ascii="Times New Roman" w:hAnsi="Times New Roman" w:cs="Times New Roman"/>
                <w:kern w:val="0"/>
                <w:sz w:val="18"/>
                <w:szCs w:val="18"/>
              </w:rPr>
              <w:t>邦</w:t>
            </w:r>
            <w:proofErr w:type="gramEnd"/>
            <w:r w:rsidRPr="004E1CA6">
              <w:rPr>
                <w:rFonts w:ascii="Times New Roman" w:hAnsi="Times New Roman" w:cs="Times New Roman"/>
                <w:kern w:val="0"/>
                <w:sz w:val="18"/>
                <w:szCs w:val="18"/>
              </w:rPr>
              <w:t>汇</w:t>
            </w:r>
            <w:proofErr w:type="gramStart"/>
            <w:r w:rsidRPr="004E1CA6">
              <w:rPr>
                <w:rFonts w:ascii="Times New Roman" w:hAnsi="Times New Roman" w:cs="Times New Roman"/>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北京市</w:t>
            </w:r>
            <w:proofErr w:type="gramStart"/>
            <w:r w:rsidRPr="004E1CA6">
              <w:rPr>
                <w:rFonts w:ascii="Times New Roman" w:hAnsi="Times New Roman" w:cs="Times New Roman"/>
                <w:kern w:val="0"/>
                <w:sz w:val="18"/>
                <w:szCs w:val="18"/>
              </w:rPr>
              <w:t>大兴区</w:t>
            </w:r>
            <w:proofErr w:type="gramEnd"/>
            <w:r w:rsidRPr="004E1CA6">
              <w:rPr>
                <w:rFonts w:ascii="Times New Roman" w:hAnsi="Times New Roman" w:cs="Times New Roman"/>
                <w:kern w:val="0"/>
                <w:sz w:val="18"/>
                <w:szCs w:val="18"/>
              </w:rPr>
              <w:t>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13,677,100.00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上海</w:t>
            </w:r>
            <w:proofErr w:type="gramStart"/>
            <w:r w:rsidRPr="004E1CA6">
              <w:rPr>
                <w:rFonts w:ascii="Times New Roman" w:hAnsi="Times New Roman" w:cs="Times New Roman"/>
                <w:kern w:val="0"/>
                <w:sz w:val="18"/>
                <w:szCs w:val="18"/>
              </w:rPr>
              <w:t>邦</w:t>
            </w:r>
            <w:proofErr w:type="gramEnd"/>
            <w:r w:rsidRPr="004E1CA6">
              <w:rPr>
                <w:rFonts w:ascii="Times New Roman" w:hAnsi="Times New Roman" w:cs="Times New Roman"/>
                <w:kern w:val="0"/>
                <w:sz w:val="18"/>
                <w:szCs w:val="18"/>
              </w:rPr>
              <w:t>汇</w:t>
            </w:r>
            <w:proofErr w:type="gramStart"/>
            <w:r w:rsidRPr="004E1CA6">
              <w:rPr>
                <w:rFonts w:ascii="Times New Roman" w:hAnsi="Times New Roman" w:cs="Times New Roman"/>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北京市</w:t>
            </w:r>
            <w:proofErr w:type="gramStart"/>
            <w:r w:rsidRPr="004E1CA6">
              <w:rPr>
                <w:rFonts w:ascii="Times New Roman" w:hAnsi="Times New Roman" w:cs="Times New Roman"/>
                <w:kern w:val="0"/>
                <w:sz w:val="18"/>
                <w:szCs w:val="18"/>
              </w:rPr>
              <w:t>大兴区</w:t>
            </w:r>
            <w:proofErr w:type="gramEnd"/>
            <w:r w:rsidRPr="004E1CA6">
              <w:rPr>
                <w:rFonts w:ascii="Times New Roman" w:hAnsi="Times New Roman" w:cs="Times New Roman"/>
                <w:kern w:val="0"/>
                <w:sz w:val="18"/>
                <w:szCs w:val="18"/>
              </w:rPr>
              <w:t>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12,984,300.00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中林集团雷州林业局有限公司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湛江市麻章区人民法院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12,845,000.00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上海</w:t>
            </w:r>
            <w:proofErr w:type="gramStart"/>
            <w:r w:rsidRPr="004E1CA6">
              <w:rPr>
                <w:rFonts w:ascii="Times New Roman" w:hAnsi="Times New Roman" w:cs="Times New Roman"/>
                <w:kern w:val="0"/>
                <w:sz w:val="18"/>
                <w:szCs w:val="18"/>
              </w:rPr>
              <w:t>邦</w:t>
            </w:r>
            <w:proofErr w:type="gramEnd"/>
            <w:r w:rsidRPr="004E1CA6">
              <w:rPr>
                <w:rFonts w:ascii="Times New Roman" w:hAnsi="Times New Roman" w:cs="Times New Roman"/>
                <w:kern w:val="0"/>
                <w:sz w:val="18"/>
                <w:szCs w:val="18"/>
              </w:rPr>
              <w:t>汇</w:t>
            </w:r>
            <w:proofErr w:type="gramStart"/>
            <w:r w:rsidRPr="004E1CA6">
              <w:rPr>
                <w:rFonts w:ascii="Times New Roman" w:hAnsi="Times New Roman" w:cs="Times New Roman"/>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北京市</w:t>
            </w:r>
            <w:proofErr w:type="gramStart"/>
            <w:r w:rsidRPr="004E1CA6">
              <w:rPr>
                <w:rFonts w:ascii="Times New Roman" w:hAnsi="Times New Roman" w:cs="Times New Roman"/>
                <w:kern w:val="0"/>
                <w:sz w:val="18"/>
                <w:szCs w:val="18"/>
              </w:rPr>
              <w:t>大兴区</w:t>
            </w:r>
            <w:proofErr w:type="gramEnd"/>
            <w:r w:rsidRPr="004E1CA6">
              <w:rPr>
                <w:rFonts w:ascii="Times New Roman" w:hAnsi="Times New Roman" w:cs="Times New Roman"/>
                <w:kern w:val="0"/>
                <w:sz w:val="18"/>
                <w:szCs w:val="18"/>
              </w:rPr>
              <w:t>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12,749,500.00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上海</w:t>
            </w:r>
            <w:proofErr w:type="gramStart"/>
            <w:r w:rsidRPr="004E1CA6">
              <w:rPr>
                <w:rFonts w:ascii="Times New Roman" w:hAnsi="Times New Roman" w:cs="Times New Roman"/>
                <w:kern w:val="0"/>
                <w:sz w:val="18"/>
                <w:szCs w:val="18"/>
              </w:rPr>
              <w:t>邦</w:t>
            </w:r>
            <w:proofErr w:type="gramEnd"/>
            <w:r w:rsidRPr="004E1CA6">
              <w:rPr>
                <w:rFonts w:ascii="Times New Roman" w:hAnsi="Times New Roman" w:cs="Times New Roman"/>
                <w:kern w:val="0"/>
                <w:sz w:val="18"/>
                <w:szCs w:val="18"/>
              </w:rPr>
              <w:t>汇</w:t>
            </w:r>
            <w:proofErr w:type="gramStart"/>
            <w:r w:rsidRPr="004E1CA6">
              <w:rPr>
                <w:rFonts w:ascii="Times New Roman" w:hAnsi="Times New Roman" w:cs="Times New Roman"/>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北京市</w:t>
            </w:r>
            <w:proofErr w:type="gramStart"/>
            <w:r w:rsidRPr="004E1CA6">
              <w:rPr>
                <w:rFonts w:ascii="Times New Roman" w:hAnsi="Times New Roman" w:cs="Times New Roman"/>
                <w:kern w:val="0"/>
                <w:sz w:val="18"/>
                <w:szCs w:val="18"/>
              </w:rPr>
              <w:t>大兴区</w:t>
            </w:r>
            <w:proofErr w:type="gramEnd"/>
            <w:r w:rsidRPr="004E1CA6">
              <w:rPr>
                <w:rFonts w:ascii="Times New Roman" w:hAnsi="Times New Roman" w:cs="Times New Roman"/>
                <w:kern w:val="0"/>
                <w:sz w:val="18"/>
                <w:szCs w:val="18"/>
              </w:rPr>
              <w:t>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12,525,000.00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秦时新能源（湛江）有限公司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湛江市麻章区人民法院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11,510,000.00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proofErr w:type="gramStart"/>
            <w:r w:rsidRPr="004E1CA6">
              <w:rPr>
                <w:rFonts w:ascii="Times New Roman" w:hAnsi="Times New Roman" w:cs="Times New Roman"/>
                <w:kern w:val="0"/>
                <w:sz w:val="18"/>
                <w:szCs w:val="18"/>
              </w:rPr>
              <w:t>浙江浙银金融租赁</w:t>
            </w:r>
            <w:proofErr w:type="gramEnd"/>
            <w:r w:rsidRPr="004E1CA6">
              <w:rPr>
                <w:rFonts w:ascii="Times New Roman" w:hAnsi="Times New Roman" w:cs="Times New Roman"/>
                <w:kern w:val="0"/>
                <w:sz w:val="18"/>
                <w:szCs w:val="18"/>
              </w:rPr>
              <w:t>股份有限公司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r w:rsidRPr="004E1CA6">
              <w:rPr>
                <w:rFonts w:ascii="Times New Roman" w:hAnsi="Times New Roman" w:cs="Times New Roman"/>
                <w:kern w:val="0"/>
                <w:sz w:val="18"/>
                <w:szCs w:val="18"/>
              </w:rPr>
              <w:t xml:space="preserve"> </w:t>
            </w:r>
            <w:r w:rsidRPr="004E1CA6">
              <w:rPr>
                <w:rFonts w:ascii="Times New Roman" w:hAnsi="Times New Roman" w:cs="Times New Roman"/>
                <w:kern w:val="0"/>
                <w:sz w:val="18"/>
                <w:szCs w:val="18"/>
              </w:rPr>
              <w:t>寿光美伦纸业有限责任公司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杭州市拱</w:t>
            </w:r>
            <w:proofErr w:type="gramStart"/>
            <w:r w:rsidRPr="004E1CA6">
              <w:rPr>
                <w:rFonts w:ascii="Times New Roman" w:hAnsi="Times New Roman" w:cs="Times New Roman"/>
                <w:kern w:val="0"/>
                <w:sz w:val="18"/>
                <w:szCs w:val="18"/>
              </w:rPr>
              <w:t>墅</w:t>
            </w:r>
            <w:proofErr w:type="gramEnd"/>
            <w:r w:rsidRPr="004E1CA6">
              <w:rPr>
                <w:rFonts w:ascii="Times New Roman" w:hAnsi="Times New Roman" w:cs="Times New Roman"/>
                <w:kern w:val="0"/>
                <w:sz w:val="18"/>
                <w:szCs w:val="18"/>
              </w:rPr>
              <w:t>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53,625,000.00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proofErr w:type="gramStart"/>
            <w:r w:rsidRPr="004E1CA6">
              <w:rPr>
                <w:rFonts w:ascii="Times New Roman" w:hAnsi="Times New Roman" w:cs="Times New Roman"/>
                <w:kern w:val="0"/>
                <w:sz w:val="18"/>
                <w:szCs w:val="18"/>
              </w:rPr>
              <w:t>浙江浙银金融租赁</w:t>
            </w:r>
            <w:proofErr w:type="gramEnd"/>
            <w:r w:rsidRPr="004E1CA6">
              <w:rPr>
                <w:rFonts w:ascii="Times New Roman" w:hAnsi="Times New Roman" w:cs="Times New Roman"/>
                <w:kern w:val="0"/>
                <w:sz w:val="18"/>
                <w:szCs w:val="18"/>
              </w:rPr>
              <w:t>股份有限公司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r w:rsidRPr="004E1CA6">
              <w:rPr>
                <w:rFonts w:ascii="Times New Roman" w:hAnsi="Times New Roman" w:cs="Times New Roman"/>
                <w:kern w:val="0"/>
                <w:sz w:val="18"/>
                <w:szCs w:val="18"/>
              </w:rPr>
              <w:t xml:space="preserve"> </w:t>
            </w:r>
            <w:r w:rsidRPr="004E1CA6">
              <w:rPr>
                <w:rFonts w:ascii="Times New Roman" w:hAnsi="Times New Roman" w:cs="Times New Roman"/>
                <w:kern w:val="0"/>
                <w:sz w:val="18"/>
                <w:szCs w:val="18"/>
              </w:rPr>
              <w:t>寿光美伦纸业有限责任公司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因融资租赁租金到期未付被原告提起诉讼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杭州市拱</w:t>
            </w:r>
            <w:proofErr w:type="gramStart"/>
            <w:r w:rsidRPr="004E1CA6">
              <w:rPr>
                <w:rFonts w:ascii="Times New Roman" w:hAnsi="Times New Roman" w:cs="Times New Roman"/>
                <w:kern w:val="0"/>
                <w:sz w:val="18"/>
                <w:szCs w:val="18"/>
              </w:rPr>
              <w:t>墅</w:t>
            </w:r>
            <w:proofErr w:type="gramEnd"/>
            <w:r w:rsidRPr="004E1CA6">
              <w:rPr>
                <w:rFonts w:ascii="Times New Roman" w:hAnsi="Times New Roman" w:cs="Times New Roman"/>
                <w:kern w:val="0"/>
                <w:sz w:val="18"/>
                <w:szCs w:val="18"/>
              </w:rPr>
              <w:t>区人民法院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15,078,000.00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等待一审开庭</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上海</w:t>
            </w:r>
            <w:proofErr w:type="gramStart"/>
            <w:r w:rsidRPr="004E1CA6">
              <w:rPr>
                <w:rFonts w:ascii="Times New Roman" w:hAnsi="Times New Roman" w:cs="Times New Roman"/>
                <w:kern w:val="0"/>
                <w:sz w:val="18"/>
                <w:szCs w:val="18"/>
              </w:rPr>
              <w:t>邦</w:t>
            </w:r>
            <w:proofErr w:type="gramEnd"/>
            <w:r w:rsidRPr="004E1CA6">
              <w:rPr>
                <w:rFonts w:ascii="Times New Roman" w:hAnsi="Times New Roman" w:cs="Times New Roman"/>
                <w:kern w:val="0"/>
                <w:sz w:val="18"/>
                <w:szCs w:val="18"/>
              </w:rPr>
              <w:t>汇</w:t>
            </w:r>
            <w:proofErr w:type="gramStart"/>
            <w:r w:rsidRPr="004E1CA6">
              <w:rPr>
                <w:rFonts w:ascii="Times New Roman" w:hAnsi="Times New Roman" w:cs="Times New Roman"/>
                <w:kern w:val="0"/>
                <w:sz w:val="18"/>
                <w:szCs w:val="18"/>
              </w:rPr>
              <w:t>商业保理有限公司</w:t>
            </w:r>
            <w:proofErr w:type="gramEnd"/>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山东晨鸣纸业集团股份有限公司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因未能及时偿还借款被原告提起诉讼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北京市</w:t>
            </w:r>
            <w:proofErr w:type="gramStart"/>
            <w:r w:rsidRPr="004E1CA6">
              <w:rPr>
                <w:rFonts w:ascii="Times New Roman" w:hAnsi="Times New Roman" w:cs="Times New Roman"/>
                <w:kern w:val="0"/>
                <w:sz w:val="18"/>
                <w:szCs w:val="18"/>
              </w:rPr>
              <w:t>大兴区</w:t>
            </w:r>
            <w:proofErr w:type="gramEnd"/>
            <w:r w:rsidRPr="004E1CA6">
              <w:rPr>
                <w:rFonts w:ascii="Times New Roman" w:hAnsi="Times New Roman" w:cs="Times New Roman"/>
                <w:kern w:val="0"/>
                <w:sz w:val="18"/>
                <w:szCs w:val="18"/>
              </w:rPr>
              <w:t>人民法院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12,672,000.00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深圳劲嘉集团股份有限公司</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湛江晨鸣浆纸有限公司</w:t>
            </w: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spacing w:before="100" w:beforeAutospacing="1" w:after="100" w:afterAutospacing="1"/>
              <w:rPr>
                <w:rFonts w:ascii="Times New Roman" w:hAnsi="Times New Roman" w:cs="Times New Roman"/>
                <w:kern w:val="0"/>
                <w:sz w:val="18"/>
                <w:szCs w:val="18"/>
              </w:rPr>
            </w:pPr>
            <w:r w:rsidRPr="004E1CA6">
              <w:rPr>
                <w:rFonts w:ascii="Times New Roman" w:hAnsi="Times New Roman" w:cs="Times New Roman" w:hint="eastAsia"/>
                <w:kern w:val="0"/>
                <w:sz w:val="18"/>
                <w:szCs w:val="18"/>
              </w:rPr>
              <w:t>因未能及时支付货款被原告提起诉讼</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湛江市麻章区法院</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 xml:space="preserve"> 59,318,000.00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r w:rsidRPr="004E1CA6">
              <w:rPr>
                <w:rFonts w:ascii="Times New Roman" w:hAnsi="Times New Roman" w:cs="Times New Roman"/>
                <w:kern w:val="0"/>
                <w:sz w:val="18"/>
                <w:szCs w:val="18"/>
              </w:rPr>
              <w:t>等待一审判决</w:t>
            </w:r>
          </w:p>
        </w:tc>
      </w:tr>
      <w:tr w:rsidR="00F60653">
        <w:trPr>
          <w:cantSplit/>
          <w:trHeight w:val="340"/>
          <w:jc w:val="center"/>
        </w:trPr>
        <w:tc>
          <w:tcPr>
            <w:tcW w:w="965"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r w:rsidRPr="004E1CA6">
              <w:rPr>
                <w:rFonts w:ascii="Times New Roman" w:hAnsi="Times New Roman" w:cs="Times New Roman"/>
                <w:kern w:val="0"/>
                <w:sz w:val="18"/>
                <w:szCs w:val="18"/>
              </w:rPr>
              <w:t>合计</w:t>
            </w:r>
          </w:p>
        </w:tc>
        <w:tc>
          <w:tcPr>
            <w:tcW w:w="1463"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p>
        </w:tc>
        <w:tc>
          <w:tcPr>
            <w:tcW w:w="1024"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Pr="004E1CA6" w:rsidRDefault="00F60653">
            <w:pPr>
              <w:rPr>
                <w:rFonts w:ascii="Times New Roman" w:hAnsi="Times New Roman" w:cs="Times New Roman"/>
                <w:kern w:val="0"/>
                <w:sz w:val="18"/>
                <w:szCs w:val="18"/>
              </w:rPr>
            </w:pP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rPr>
                <w:rFonts w:ascii="Times New Roman" w:hAnsi="Times New Roman" w:cs="Times New Roman"/>
                <w:kern w:val="0"/>
                <w:sz w:val="18"/>
                <w:szCs w:val="18"/>
              </w:rPr>
            </w:pP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1326E2" w:rsidP="001326E2">
            <w:pPr>
              <w:jc w:val="right"/>
              <w:rPr>
                <w:rFonts w:ascii="Times New Roman" w:hAnsi="Times New Roman" w:cs="Times New Roman"/>
                <w:kern w:val="0"/>
                <w:sz w:val="18"/>
                <w:szCs w:val="18"/>
              </w:rPr>
            </w:pPr>
            <w:r w:rsidRPr="001326E2">
              <w:rPr>
                <w:rFonts w:ascii="Times New Roman" w:hAnsi="Times New Roman" w:cs="Times New Roman"/>
                <w:kern w:val="0"/>
                <w:sz w:val="18"/>
                <w:szCs w:val="18"/>
              </w:rPr>
              <w:t>2,711,996,400.00</w:t>
            </w:r>
            <w:r w:rsidR="00F60653" w:rsidRPr="004E1CA6">
              <w:rPr>
                <w:rFonts w:ascii="Times New Roman" w:hAnsi="Times New Roman" w:cs="Times New Roman"/>
                <w:kern w:val="0"/>
                <w:sz w:val="18"/>
                <w:szCs w:val="18"/>
              </w:rPr>
              <w:t xml:space="preserve">  </w:t>
            </w: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F60653" w:rsidRDefault="00F60653">
            <w:pPr>
              <w:jc w:val="right"/>
              <w:rPr>
                <w:rFonts w:ascii="Times New Roman" w:hAnsi="Times New Roman" w:cs="Times New Roman"/>
                <w:kern w:val="0"/>
                <w:sz w:val="18"/>
                <w:szCs w:val="18"/>
              </w:rPr>
            </w:pPr>
          </w:p>
        </w:tc>
      </w:tr>
    </w:tbl>
    <w:p w:rsidR="00403CD6" w:rsidRDefault="00E91A59">
      <w:pPr>
        <w:pStyle w:val="2"/>
        <w:spacing w:before="300" w:after="300" w:line="320" w:lineRule="exact"/>
        <w:rPr>
          <w:rFonts w:ascii="宋体" w:eastAsia="宋体" w:hAnsi="宋体" w:cs="宋体"/>
          <w:b/>
          <w:bCs/>
          <w:sz w:val="24"/>
          <w:szCs w:val="24"/>
        </w:rPr>
      </w:pPr>
      <w:bookmarkStart w:id="178" w:name="_Toc989518"/>
      <w:bookmarkEnd w:id="168"/>
      <w:r>
        <w:rPr>
          <w:rFonts w:ascii="宋体" w:eastAsia="宋体" w:hAnsi="宋体" w:cs="宋体" w:hint="eastAsia"/>
          <w:b/>
          <w:bCs/>
          <w:sz w:val="24"/>
          <w:szCs w:val="24"/>
        </w:rPr>
        <w:t>十八、其他重要事项</w:t>
      </w:r>
      <w:bookmarkEnd w:id="178"/>
    </w:p>
    <w:p w:rsidR="00403CD6" w:rsidRDefault="00E91A59">
      <w:pPr>
        <w:keepNext/>
        <w:keepLines/>
        <w:spacing w:before="300" w:after="300" w:line="280" w:lineRule="exact"/>
        <w:outlineLvl w:val="2"/>
        <w:rPr>
          <w:rFonts w:ascii="宋体" w:eastAsia="宋体" w:hAnsi="宋体" w:cs="宋体"/>
          <w:b/>
          <w:bCs/>
          <w:szCs w:val="21"/>
        </w:rPr>
      </w:pPr>
      <w:bookmarkStart w:id="179" w:name="_Toc989519"/>
      <w:r>
        <w:rPr>
          <w:rFonts w:ascii="宋体" w:eastAsia="宋体" w:hAnsi="宋体" w:cs="宋体" w:hint="eastAsia"/>
          <w:b/>
          <w:bCs/>
          <w:szCs w:val="21"/>
        </w:rPr>
        <w:t>1、</w:t>
      </w:r>
      <w:bookmarkEnd w:id="179"/>
      <w:r>
        <w:rPr>
          <w:rFonts w:ascii="宋体" w:eastAsia="宋体" w:hAnsi="宋体" w:cs="宋体" w:hint="eastAsia"/>
          <w:b/>
          <w:bCs/>
          <w:szCs w:val="21"/>
        </w:rPr>
        <w:t>重要资产转让及出售</w:t>
      </w:r>
    </w:p>
    <w:p w:rsidR="00403CD6" w:rsidRDefault="00E91A59">
      <w:pPr>
        <w:ind w:firstLineChars="200" w:firstLine="360"/>
        <w:rPr>
          <w:rFonts w:ascii="Times New Roman" w:hAnsi="Times New Roman" w:cs="Times New Roman"/>
          <w:sz w:val="18"/>
          <w:szCs w:val="18"/>
        </w:rPr>
      </w:pPr>
      <w:r>
        <w:rPr>
          <w:rFonts w:ascii="Times New Roman" w:hAnsi="Times New Roman" w:cs="Times New Roman"/>
          <w:sz w:val="18"/>
          <w:szCs w:val="18"/>
        </w:rPr>
        <w:t>本公司为进一步优化资产结构，盘活低效能资产，提高资产利用效率，尽快回笼资金，增加现金流入，聚焦制浆、造纸主业，增强公司的盈利能力，当期对外转让了对</w:t>
      </w:r>
      <w:proofErr w:type="gramStart"/>
      <w:r>
        <w:rPr>
          <w:rFonts w:ascii="Times New Roman" w:hAnsi="Times New Roman" w:cs="Times New Roman"/>
          <w:sz w:val="18"/>
          <w:szCs w:val="18"/>
        </w:rPr>
        <w:t>昆山拓安塑料</w:t>
      </w:r>
      <w:proofErr w:type="gramEnd"/>
      <w:r>
        <w:rPr>
          <w:rFonts w:ascii="Times New Roman" w:hAnsi="Times New Roman" w:cs="Times New Roman"/>
          <w:sz w:val="18"/>
          <w:szCs w:val="18"/>
        </w:rPr>
        <w:t>制品有限公司</w:t>
      </w:r>
      <w:r>
        <w:rPr>
          <w:rFonts w:ascii="Times New Roman" w:hAnsi="Times New Roman" w:cs="Times New Roman"/>
          <w:sz w:val="18"/>
          <w:szCs w:val="18"/>
        </w:rPr>
        <w:t>100%</w:t>
      </w:r>
      <w:r>
        <w:rPr>
          <w:rFonts w:ascii="Times New Roman" w:hAnsi="Times New Roman" w:cs="Times New Roman"/>
          <w:sz w:val="18"/>
          <w:szCs w:val="18"/>
        </w:rPr>
        <w:t>的股权，转让对价</w:t>
      </w:r>
      <w:r>
        <w:rPr>
          <w:rFonts w:ascii="Times New Roman" w:hAnsi="Times New Roman" w:cs="Times New Roman"/>
          <w:sz w:val="18"/>
          <w:szCs w:val="18"/>
        </w:rPr>
        <w:t>14,373.00</w:t>
      </w:r>
      <w:r>
        <w:rPr>
          <w:rFonts w:ascii="Times New Roman" w:hAnsi="Times New Roman" w:cs="Times New Roman"/>
          <w:sz w:val="18"/>
          <w:szCs w:val="18"/>
        </w:rPr>
        <w:t>万元，本次转让产生的投资收益金额为</w:t>
      </w:r>
      <w:r>
        <w:rPr>
          <w:rFonts w:ascii="Times New Roman" w:hAnsi="Times New Roman" w:cs="Times New Roman"/>
          <w:sz w:val="18"/>
          <w:szCs w:val="18"/>
        </w:rPr>
        <w:t>1,261.96</w:t>
      </w:r>
      <w:r>
        <w:rPr>
          <w:rFonts w:ascii="Times New Roman" w:hAnsi="Times New Roman" w:cs="Times New Roman"/>
          <w:sz w:val="18"/>
          <w:szCs w:val="18"/>
        </w:rPr>
        <w:t>万元。</w:t>
      </w:r>
    </w:p>
    <w:p w:rsidR="00403CD6" w:rsidRDefault="00E91A59">
      <w:pPr>
        <w:keepNext/>
        <w:keepLines/>
        <w:spacing w:before="300" w:after="300" w:line="280" w:lineRule="exact"/>
        <w:outlineLvl w:val="2"/>
        <w:rPr>
          <w:rFonts w:ascii="宋体" w:eastAsia="宋体" w:hAnsi="宋体" w:cs="宋体"/>
          <w:b/>
          <w:bCs/>
          <w:szCs w:val="21"/>
        </w:rPr>
      </w:pPr>
      <w:bookmarkStart w:id="180" w:name="_Toc989528"/>
      <w:r>
        <w:rPr>
          <w:rFonts w:ascii="宋体" w:eastAsia="宋体" w:hAnsi="宋体" w:cs="宋体" w:hint="eastAsia"/>
          <w:b/>
          <w:bCs/>
          <w:szCs w:val="21"/>
        </w:rPr>
        <w:t>2、分部信息</w:t>
      </w:r>
      <w:bookmarkEnd w:id="180"/>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报告分部的确定依据与会计政策</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根据本公司的内部组织结构、管理要求及内部报告制度，本公司的经营业务划分为</w:t>
      </w:r>
      <w:r>
        <w:rPr>
          <w:rFonts w:ascii="Times New Roman" w:eastAsiaTheme="minorEastAsia" w:hAnsi="Times New Roman" w:cs="Times New Roman" w:hint="eastAsia"/>
          <w:sz w:val="18"/>
          <w:szCs w:val="18"/>
        </w:rPr>
        <w:t>4</w:t>
      </w:r>
      <w:r>
        <w:rPr>
          <w:rFonts w:ascii="Times New Roman" w:eastAsiaTheme="minorEastAsia" w:hAnsi="Times New Roman" w:cs="Times New Roman"/>
          <w:sz w:val="18"/>
          <w:szCs w:val="18"/>
        </w:rPr>
        <w:t>个报告分部。这些报告分部是以公司日常内部管理要求的财务信息为基础确定的。集团的管理层定期评价这些报告分部的经营成果，以决定向其分配资源及评价其业绩。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本公司报告分部包括：</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1</w:t>
      </w:r>
      <w:r>
        <w:rPr>
          <w:rFonts w:ascii="Times New Roman" w:eastAsiaTheme="minorEastAsia" w:hAnsi="Times New Roman" w:cs="Times New Roman"/>
          <w:sz w:val="18"/>
          <w:szCs w:val="18"/>
        </w:rPr>
        <w:t>）</w:t>
      </w:r>
      <w:r>
        <w:rPr>
          <w:rFonts w:ascii="Times New Roman" w:eastAsiaTheme="minorEastAsia" w:hAnsi="Times New Roman" w:cs="Times New Roman" w:hint="eastAsia"/>
          <w:sz w:val="18"/>
          <w:szCs w:val="18"/>
        </w:rPr>
        <w:t>机制纸分部，生产及销售机制纸</w:t>
      </w:r>
      <w:r>
        <w:rPr>
          <w:rFonts w:ascii="Times New Roman" w:eastAsiaTheme="minorEastAsia" w:hAnsi="Times New Roman" w:cs="Times New Roman"/>
          <w:sz w:val="18"/>
          <w:szCs w:val="18"/>
        </w:rPr>
        <w:t>；</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2</w:t>
      </w:r>
      <w:r>
        <w:rPr>
          <w:rFonts w:ascii="Times New Roman" w:eastAsiaTheme="minorEastAsia" w:hAnsi="Times New Roman" w:cs="Times New Roman"/>
          <w:sz w:val="18"/>
          <w:szCs w:val="18"/>
        </w:rPr>
        <w:t>）</w:t>
      </w:r>
      <w:r>
        <w:rPr>
          <w:rFonts w:ascii="Times New Roman" w:eastAsiaTheme="minorEastAsia" w:hAnsi="Times New Roman" w:cs="Times New Roman" w:hint="eastAsia"/>
          <w:sz w:val="18"/>
          <w:szCs w:val="18"/>
        </w:rPr>
        <w:t>金融服务分部，提供金融服务</w:t>
      </w:r>
      <w:r>
        <w:rPr>
          <w:rFonts w:ascii="Times New Roman" w:eastAsiaTheme="minorEastAsia" w:hAnsi="Times New Roman" w:cs="Times New Roman"/>
          <w:sz w:val="18"/>
          <w:szCs w:val="18"/>
        </w:rPr>
        <w:t>；</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3</w:t>
      </w:r>
      <w:r>
        <w:rPr>
          <w:rFonts w:ascii="Times New Roman" w:eastAsiaTheme="minorEastAsia" w:hAnsi="Times New Roman" w:cs="Times New Roman"/>
          <w:sz w:val="18"/>
          <w:szCs w:val="18"/>
        </w:rPr>
        <w:t>）</w:t>
      </w:r>
      <w:r>
        <w:rPr>
          <w:rFonts w:ascii="Times New Roman" w:eastAsiaTheme="minorEastAsia" w:hAnsi="Times New Roman" w:cs="Times New Roman" w:hint="eastAsia"/>
          <w:sz w:val="18"/>
          <w:szCs w:val="18"/>
        </w:rPr>
        <w:t>酒店及物业分部，酒店服务及物业出租</w:t>
      </w:r>
      <w:r>
        <w:rPr>
          <w:rFonts w:ascii="Times New Roman" w:eastAsiaTheme="minorEastAsia" w:hAnsi="Times New Roman" w:cs="Times New Roman"/>
          <w:sz w:val="18"/>
          <w:szCs w:val="18"/>
        </w:rPr>
        <w:t>；</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w:t>
      </w:r>
      <w:r>
        <w:rPr>
          <w:rFonts w:ascii="Times New Roman" w:eastAsiaTheme="minorEastAsia" w:hAnsi="Times New Roman" w:cs="Times New Roman"/>
          <w:sz w:val="18"/>
          <w:szCs w:val="18"/>
        </w:rPr>
        <w:t>4</w:t>
      </w:r>
      <w:r>
        <w:rPr>
          <w:rFonts w:ascii="Times New Roman" w:eastAsiaTheme="minorEastAsia" w:hAnsi="Times New Roman" w:cs="Times New Roman"/>
          <w:sz w:val="18"/>
          <w:szCs w:val="18"/>
        </w:rPr>
        <w:t>）</w:t>
      </w:r>
      <w:r>
        <w:rPr>
          <w:rFonts w:ascii="Times New Roman" w:eastAsiaTheme="minorEastAsia" w:hAnsi="Times New Roman" w:cs="Times New Roman" w:hint="eastAsia"/>
          <w:sz w:val="18"/>
          <w:szCs w:val="18"/>
        </w:rPr>
        <w:t>其他分部，除上述分部之外的其他业务。</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lastRenderedPageBreak/>
        <w:t>公司分部间的转移交易之转移价格以市场价格为基础。</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sz w:val="18"/>
          <w:szCs w:val="18"/>
        </w:rPr>
        <w:t>分部报告信息根据各分部向管理</w:t>
      </w:r>
      <w:proofErr w:type="gramStart"/>
      <w:r>
        <w:rPr>
          <w:rFonts w:ascii="Times New Roman" w:eastAsiaTheme="minorEastAsia" w:hAnsi="Times New Roman" w:cs="Times New Roman"/>
          <w:sz w:val="18"/>
          <w:szCs w:val="18"/>
        </w:rPr>
        <w:t>层报告</w:t>
      </w:r>
      <w:proofErr w:type="gramEnd"/>
      <w:r>
        <w:rPr>
          <w:rFonts w:ascii="Times New Roman" w:eastAsiaTheme="minorEastAsia" w:hAnsi="Times New Roman" w:cs="Times New Roman"/>
          <w:sz w:val="18"/>
          <w:szCs w:val="18"/>
        </w:rPr>
        <w:t>时采用的会计政策及计量标准披露，这些会计政策及计量基础与编制财务报表时的会计政策及计量基础保持一致。</w:t>
      </w:r>
    </w:p>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报告分部的财务信息</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Layout w:type="fixed"/>
        <w:tblCellMar>
          <w:left w:w="28" w:type="dxa"/>
          <w:right w:w="28" w:type="dxa"/>
        </w:tblCellMar>
        <w:tblLook w:val="04A0" w:firstRow="1" w:lastRow="0" w:firstColumn="1" w:lastColumn="0" w:noHBand="0" w:noVBand="1"/>
      </w:tblPr>
      <w:tblGrid>
        <w:gridCol w:w="1870"/>
        <w:gridCol w:w="1417"/>
        <w:gridCol w:w="1417"/>
        <w:gridCol w:w="1278"/>
        <w:gridCol w:w="1276"/>
        <w:gridCol w:w="1134"/>
        <w:gridCol w:w="1301"/>
      </w:tblGrid>
      <w:tr w:rsidR="00403CD6">
        <w:trPr>
          <w:trHeight w:val="402"/>
        </w:trPr>
        <w:tc>
          <w:tcPr>
            <w:tcW w:w="965" w:type="pct"/>
            <w:tcBorders>
              <w:top w:val="single" w:sz="4" w:space="0" w:color="auto"/>
              <w:left w:val="single" w:sz="4" w:space="0" w:color="auto"/>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本期或本期期末</w:t>
            </w:r>
          </w:p>
        </w:tc>
        <w:tc>
          <w:tcPr>
            <w:tcW w:w="731"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机制纸</w:t>
            </w:r>
          </w:p>
        </w:tc>
        <w:tc>
          <w:tcPr>
            <w:tcW w:w="731"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金融服务</w:t>
            </w:r>
          </w:p>
        </w:tc>
        <w:tc>
          <w:tcPr>
            <w:tcW w:w="659"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酒店及物业租金</w:t>
            </w:r>
          </w:p>
        </w:tc>
        <w:tc>
          <w:tcPr>
            <w:tcW w:w="658"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其他</w:t>
            </w:r>
          </w:p>
        </w:tc>
        <w:tc>
          <w:tcPr>
            <w:tcW w:w="585"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抵消</w:t>
            </w:r>
          </w:p>
        </w:tc>
        <w:tc>
          <w:tcPr>
            <w:tcW w:w="671" w:type="pct"/>
            <w:tcBorders>
              <w:top w:val="single" w:sz="4" w:space="0" w:color="auto"/>
              <w:left w:val="nil"/>
              <w:bottom w:val="single" w:sz="4" w:space="0" w:color="auto"/>
              <w:right w:val="single" w:sz="4" w:space="0" w:color="auto"/>
            </w:tcBorders>
            <w:shd w:val="clear" w:color="000000" w:fill="D9D9D9"/>
            <w:vAlign w:val="center"/>
          </w:tcPr>
          <w:p w:rsidR="00403CD6" w:rsidRDefault="00E91A59">
            <w:pPr>
              <w:widowControl/>
              <w:jc w:val="center"/>
              <w:rPr>
                <w:rFonts w:ascii="宋体" w:eastAsia="宋体" w:hAnsi="宋体" w:cs="宋体"/>
                <w:kern w:val="0"/>
                <w:sz w:val="18"/>
                <w:szCs w:val="18"/>
              </w:rPr>
            </w:pPr>
            <w:r>
              <w:rPr>
                <w:rFonts w:ascii="宋体" w:eastAsia="宋体" w:hAnsi="宋体" w:cs="宋体" w:hint="eastAsia"/>
                <w:kern w:val="0"/>
                <w:sz w:val="18"/>
                <w:szCs w:val="18"/>
              </w:rPr>
              <w:t>合计</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营业收入</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hAnsi="Times New Roman" w:cs="Times New Roman"/>
                <w:sz w:val="18"/>
                <w:szCs w:val="18"/>
              </w:rPr>
            </w:pPr>
            <w:r>
              <w:rPr>
                <w:rFonts w:ascii="Times New Roman" w:hAnsi="Times New Roman" w:cs="Times New Roman"/>
                <w:sz w:val="18"/>
                <w:szCs w:val="18"/>
              </w:rPr>
              <w:t xml:space="preserve">22,631,951,988.07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294,265,189.14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218,472,144.22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875,895,266.62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1,291,109,735.29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22,729,474,852.76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其中：对外交易收入</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22,121,097,000.91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194,122,370.30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195,920,780.92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218,334,700.63 </w:t>
            </w:r>
          </w:p>
        </w:tc>
        <w:tc>
          <w:tcPr>
            <w:tcW w:w="585" w:type="pct"/>
            <w:tcBorders>
              <w:top w:val="nil"/>
              <w:left w:val="nil"/>
              <w:bottom w:val="single" w:sz="4" w:space="0" w:color="auto"/>
              <w:right w:val="single" w:sz="4" w:space="0" w:color="auto"/>
            </w:tcBorders>
            <w:shd w:val="clear" w:color="auto" w:fill="auto"/>
            <w:vAlign w:val="center"/>
          </w:tcPr>
          <w:p w:rsidR="00403CD6" w:rsidRDefault="00403CD6">
            <w:pPr>
              <w:widowControl/>
              <w:jc w:val="right"/>
              <w:rPr>
                <w:rFonts w:ascii="Times New Roman" w:eastAsia="宋体" w:hAnsi="Times New Roman" w:cs="Times New Roman"/>
                <w:kern w:val="0"/>
                <w:sz w:val="18"/>
                <w:szCs w:val="18"/>
              </w:rPr>
            </w:pP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22,729,474,852.76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分部间交易收入</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510,854,987.16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100,142,818.84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22,551,363.30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657,560,565.99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1,291,109,735.29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其中：主营业务收入</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22,342,338,732.50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294,265,189.14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216,040,917.16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516,279,443.44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766,889,737.3</w:t>
            </w:r>
            <w:r>
              <w:rPr>
                <w:rFonts w:ascii="Times New Roman" w:hAnsi="Times New Roman" w:cs="Times New Roman" w:hint="eastAsia"/>
                <w:sz w:val="18"/>
                <w:szCs w:val="18"/>
              </w:rPr>
              <w:t>8</w:t>
            </w:r>
            <w:r>
              <w:rPr>
                <w:rFonts w:ascii="Times New Roman" w:hAnsi="Times New Roman" w:cs="Times New Roman"/>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22,602,034,544.86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营业成本</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22,142,564,244.40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129,290,999.94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220,948,362.81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954,139,643.19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1,302,114,581.9</w:t>
            </w:r>
            <w:r>
              <w:rPr>
                <w:rFonts w:ascii="Times New Roman" w:hAnsi="Times New Roman" w:cs="Times New Roman" w:hint="eastAsia"/>
                <w:sz w:val="18"/>
                <w:szCs w:val="18"/>
              </w:rPr>
              <w:t>1</w:t>
            </w:r>
            <w:r>
              <w:rPr>
                <w:rFonts w:ascii="Times New Roman" w:hAnsi="Times New Roman" w:cs="Times New Roman"/>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22,144,828,668.43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宋体" w:eastAsia="宋体" w:hAnsi="宋体" w:cs="宋体"/>
                <w:kern w:val="0"/>
                <w:sz w:val="18"/>
                <w:szCs w:val="18"/>
              </w:rPr>
            </w:pPr>
            <w:r>
              <w:rPr>
                <w:rFonts w:ascii="宋体" w:eastAsia="宋体" w:hAnsi="宋体" w:cs="宋体" w:hint="eastAsia"/>
                <w:kern w:val="0"/>
                <w:sz w:val="18"/>
                <w:szCs w:val="18"/>
              </w:rPr>
              <w:t>其中：主营业务成本</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21,817,408,428.61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129,290,999.94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spacing w:before="100" w:beforeAutospacing="1" w:after="100" w:afterAutospacing="1"/>
              <w:jc w:val="right"/>
              <w:rPr>
                <w:rFonts w:ascii="Times New Roman" w:eastAsia="宋体" w:hAnsi="Times New Roman" w:cs="Times New Roman"/>
                <w:sz w:val="18"/>
                <w:szCs w:val="18"/>
              </w:rPr>
            </w:pPr>
            <w:r>
              <w:rPr>
                <w:rFonts w:ascii="Times New Roman" w:hAnsi="Times New Roman" w:cs="Times New Roman"/>
                <w:sz w:val="18"/>
                <w:szCs w:val="18"/>
              </w:rPr>
              <w:t xml:space="preserve">220,061,816.68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604,455,575.82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685,551,497.5</w:t>
            </w:r>
            <w:r>
              <w:rPr>
                <w:rFonts w:ascii="Times New Roman" w:hAnsi="Times New Roman" w:cs="Times New Roman" w:hint="eastAsia"/>
                <w:sz w:val="18"/>
                <w:szCs w:val="18"/>
              </w:rPr>
              <w:t>4</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hAnsi="Times New Roman" w:cs="Times New Roman"/>
                <w:sz w:val="18"/>
                <w:szCs w:val="18"/>
              </w:rPr>
              <w:t xml:space="preserve">22,085,665,323.51  </w:t>
            </w:r>
          </w:p>
        </w:tc>
      </w:tr>
      <w:tr w:rsidR="002C4FCC">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2C4FCC" w:rsidRDefault="002C4FCC">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营业费用</w:t>
            </w:r>
          </w:p>
        </w:tc>
        <w:tc>
          <w:tcPr>
            <w:tcW w:w="731"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211,301,293.09</w:t>
            </w:r>
          </w:p>
        </w:tc>
        <w:tc>
          <w:tcPr>
            <w:tcW w:w="731"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hint="eastAsia"/>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 xml:space="preserve">19,786,226.71 </w:t>
            </w:r>
          </w:p>
        </w:tc>
        <w:tc>
          <w:tcPr>
            <w:tcW w:w="658"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 xml:space="preserve">3,500,573.46 </w:t>
            </w:r>
          </w:p>
        </w:tc>
        <w:tc>
          <w:tcPr>
            <w:tcW w:w="585"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 xml:space="preserve">-6,583,015.86 </w:t>
            </w:r>
          </w:p>
        </w:tc>
        <w:tc>
          <w:tcPr>
            <w:tcW w:w="671"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241,171,109.12</w:t>
            </w:r>
          </w:p>
        </w:tc>
      </w:tr>
      <w:tr w:rsidR="002C4FCC" w:rsidTr="004E1CA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2C4FCC" w:rsidRDefault="002C4FCC">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其中：工资</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125,648,321.41</w:t>
            </w:r>
          </w:p>
        </w:tc>
        <w:tc>
          <w:tcPr>
            <w:tcW w:w="731"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hint="eastAsia"/>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 xml:space="preserve">6,041,820.39 </w:t>
            </w:r>
          </w:p>
        </w:tc>
        <w:tc>
          <w:tcPr>
            <w:tcW w:w="658"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 xml:space="preserve">1,228,396.30 </w:t>
            </w:r>
          </w:p>
        </w:tc>
        <w:tc>
          <w:tcPr>
            <w:tcW w:w="585" w:type="pct"/>
            <w:tcBorders>
              <w:top w:val="nil"/>
              <w:left w:val="nil"/>
              <w:bottom w:val="single" w:sz="4" w:space="0" w:color="auto"/>
              <w:right w:val="single" w:sz="4" w:space="0" w:color="auto"/>
            </w:tcBorders>
            <w:shd w:val="clear" w:color="auto" w:fill="auto"/>
            <w:vAlign w:val="center"/>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hint="eastAsia"/>
                <w:sz w:val="18"/>
                <w:szCs w:val="18"/>
              </w:rPr>
              <w:t xml:space="preserve">　</w:t>
            </w:r>
          </w:p>
        </w:tc>
        <w:tc>
          <w:tcPr>
            <w:tcW w:w="671" w:type="pct"/>
            <w:tcBorders>
              <w:top w:val="nil"/>
              <w:left w:val="nil"/>
              <w:bottom w:val="single" w:sz="4" w:space="0" w:color="auto"/>
              <w:right w:val="single" w:sz="4" w:space="0" w:color="auto"/>
            </w:tcBorders>
            <w:shd w:val="clear" w:color="auto" w:fill="auto"/>
            <w:vAlign w:val="bottom"/>
          </w:tcPr>
          <w:p w:rsidR="002C4FCC" w:rsidRPr="004E1CA6" w:rsidRDefault="002C4FCC">
            <w:pPr>
              <w:widowControl/>
              <w:spacing w:before="100" w:beforeAutospacing="1" w:after="100" w:afterAutospacing="1"/>
              <w:jc w:val="right"/>
              <w:rPr>
                <w:rFonts w:ascii="Times New Roman" w:hAnsi="Times New Roman" w:cs="Times New Roman"/>
                <w:sz w:val="18"/>
                <w:szCs w:val="18"/>
              </w:rPr>
            </w:pPr>
            <w:r w:rsidRPr="004E1CA6">
              <w:rPr>
                <w:rFonts w:ascii="Times New Roman" w:hAnsi="Times New Roman" w:cs="Times New Roman"/>
                <w:sz w:val="18"/>
                <w:szCs w:val="18"/>
              </w:rPr>
              <w:t>132,918,538.10</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折旧费</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1,065,408.58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3,675,184.06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2,254.69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4,742,847.33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办公费</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2,104,193.40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13,620.13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133.82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2,117,947.35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差旅费</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28,246,818.27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3,097.06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471,289.32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28,721,204.65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销售佣金</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71,407.60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4,546,796.61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4,618,204.21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租赁费</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6,821,793.52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99,622.63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6,921,416.15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招待费</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40,762,381.84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29,770.00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84,388.00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-6,583,015.86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47,459,555.70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r>
              <w:rPr>
                <w:rFonts w:ascii="Times New Roman" w:eastAsia="宋体" w:hAnsi="Times New Roman" w:cs="Times New Roman"/>
                <w:kern w:val="0"/>
                <w:sz w:val="18"/>
                <w:szCs w:val="18"/>
              </w:rPr>
              <w:t>其他</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6,580,968.47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5,475,938.46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1,614,488.70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13,671,395.63  </w:t>
            </w:r>
          </w:p>
        </w:tc>
      </w:tr>
      <w:tr w:rsidR="002C4FCC">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2C4FCC" w:rsidRDefault="002C4FCC">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营业利润</w:t>
            </w:r>
            <w:r>
              <w:rPr>
                <w:rFonts w:ascii="Times New Roman" w:eastAsia="宋体" w:hAnsi="Times New Roman" w:cs="Times New Roman"/>
                <w:kern w:val="0"/>
                <w:sz w:val="18"/>
                <w:szCs w:val="18"/>
              </w:rPr>
              <w:t>/(</w:t>
            </w:r>
            <w:r>
              <w:rPr>
                <w:rFonts w:ascii="Times New Roman" w:eastAsia="宋体" w:hAnsi="Times New Roman" w:cs="Times New Roman"/>
                <w:kern w:val="0"/>
                <w:sz w:val="18"/>
                <w:szCs w:val="18"/>
              </w:rPr>
              <w:t>亏损</w:t>
            </w:r>
            <w:r>
              <w:rPr>
                <w:rFonts w:ascii="Times New Roman" w:eastAsia="宋体" w:hAnsi="Times New Roman" w:cs="Times New Roman"/>
                <w:kern w:val="0"/>
                <w:sz w:val="18"/>
                <w:szCs w:val="18"/>
              </w:rPr>
              <w:t>)</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-3,938,128,030.75</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-2,518,087,175.80 </w:t>
            </w:r>
          </w:p>
        </w:tc>
        <w:tc>
          <w:tcPr>
            <w:tcW w:w="659"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-961,022,745.28 </w:t>
            </w:r>
          </w:p>
        </w:tc>
        <w:tc>
          <w:tcPr>
            <w:tcW w:w="658"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-367,642,543.68 </w:t>
            </w:r>
          </w:p>
        </w:tc>
        <w:tc>
          <w:tcPr>
            <w:tcW w:w="585"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35,854,079.00 </w:t>
            </w:r>
          </w:p>
        </w:tc>
        <w:tc>
          <w:tcPr>
            <w:tcW w:w="67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-7,820,734,574.51</w:t>
            </w:r>
          </w:p>
        </w:tc>
      </w:tr>
      <w:tr w:rsidR="002C4FCC">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2C4FCC" w:rsidRDefault="002C4FCC">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资产总额</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70,105,850,088.46</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12,533,349,415.32  </w:t>
            </w:r>
          </w:p>
        </w:tc>
        <w:tc>
          <w:tcPr>
            <w:tcW w:w="659"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8,425,823,090.03 </w:t>
            </w:r>
          </w:p>
        </w:tc>
        <w:tc>
          <w:tcPr>
            <w:tcW w:w="658"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7,499,755,004.88 </w:t>
            </w:r>
          </w:p>
        </w:tc>
        <w:tc>
          <w:tcPr>
            <w:tcW w:w="585"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35,055,482,456.61  </w:t>
            </w:r>
          </w:p>
        </w:tc>
        <w:tc>
          <w:tcPr>
            <w:tcW w:w="67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63,509,295,142.08</w:t>
            </w:r>
          </w:p>
        </w:tc>
      </w:tr>
      <w:tr w:rsidR="002C4FCC">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2C4FCC" w:rsidRDefault="002C4FCC">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负债总额</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52,435,567,469.59</w:t>
            </w:r>
          </w:p>
        </w:tc>
        <w:tc>
          <w:tcPr>
            <w:tcW w:w="73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3,878,708,512.86 </w:t>
            </w:r>
          </w:p>
        </w:tc>
        <w:tc>
          <w:tcPr>
            <w:tcW w:w="659"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5,238,836,562.08 </w:t>
            </w:r>
          </w:p>
        </w:tc>
        <w:tc>
          <w:tcPr>
            <w:tcW w:w="658"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2,351,979,014.66 </w:t>
            </w:r>
          </w:p>
        </w:tc>
        <w:tc>
          <w:tcPr>
            <w:tcW w:w="585"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 xml:space="preserve">13,231,567,042.26  </w:t>
            </w:r>
          </w:p>
        </w:tc>
        <w:tc>
          <w:tcPr>
            <w:tcW w:w="671" w:type="pct"/>
            <w:tcBorders>
              <w:top w:val="nil"/>
              <w:left w:val="nil"/>
              <w:bottom w:val="single" w:sz="4" w:space="0" w:color="auto"/>
              <w:right w:val="single" w:sz="4" w:space="0" w:color="auto"/>
            </w:tcBorders>
            <w:shd w:val="clear" w:color="auto" w:fill="auto"/>
            <w:vAlign w:val="center"/>
          </w:tcPr>
          <w:p w:rsidR="002C4FCC" w:rsidRDefault="002C4FCC" w:rsidP="004E1CA6">
            <w:pPr>
              <w:widowControl/>
              <w:jc w:val="right"/>
              <w:rPr>
                <w:rFonts w:ascii="Times New Roman" w:eastAsia="宋体" w:hAnsi="Times New Roman" w:cs="Times New Roman"/>
                <w:kern w:val="0"/>
                <w:sz w:val="18"/>
                <w:szCs w:val="18"/>
              </w:rPr>
            </w:pPr>
            <w:r w:rsidRPr="004E1CA6">
              <w:rPr>
                <w:rFonts w:ascii="Times New Roman" w:eastAsia="宋体" w:hAnsi="Times New Roman" w:cs="Times New Roman"/>
                <w:kern w:val="0"/>
                <w:sz w:val="18"/>
                <w:szCs w:val="18"/>
              </w:rPr>
              <w:t>50,673,524,516.93</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当期发生的在建工程成本总额</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296,435,087.14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249,532.12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296,684,619.26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购置的固定资产</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146,444,059.24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903,834.50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55,906,328.10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1,081,819.68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hint="eastAsia"/>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204,336,041.52 </w:t>
            </w:r>
          </w:p>
        </w:tc>
      </w:tr>
      <w:tr w:rsidR="00403CD6">
        <w:trPr>
          <w:trHeight w:val="402"/>
        </w:trPr>
        <w:tc>
          <w:tcPr>
            <w:tcW w:w="965"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kern w:val="0"/>
                <w:sz w:val="18"/>
                <w:szCs w:val="18"/>
              </w:rPr>
            </w:pPr>
            <w:r>
              <w:rPr>
                <w:rFonts w:ascii="Times New Roman" w:eastAsia="宋体" w:hAnsi="Times New Roman" w:cs="Times New Roman"/>
                <w:kern w:val="0"/>
                <w:sz w:val="18"/>
                <w:szCs w:val="18"/>
              </w:rPr>
              <w:t>购置的无形资产</w:t>
            </w: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73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9"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58"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58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c>
          <w:tcPr>
            <w:tcW w:w="671"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kern w:val="0"/>
                <w:sz w:val="18"/>
                <w:szCs w:val="18"/>
              </w:rPr>
            </w:pPr>
            <w:r>
              <w:rPr>
                <w:rFonts w:ascii="Times New Roman" w:eastAsia="宋体" w:hAnsi="Times New Roman" w:cs="Times New Roman"/>
                <w:kern w:val="0"/>
                <w:sz w:val="18"/>
                <w:szCs w:val="18"/>
              </w:rPr>
              <w:t xml:space="preserve">　</w:t>
            </w:r>
          </w:p>
        </w:tc>
      </w:tr>
    </w:tbl>
    <w:p w:rsidR="00403CD6" w:rsidRDefault="00403CD6">
      <w:pPr>
        <w:pStyle w:val="aa"/>
        <w:spacing w:before="0" w:beforeAutospacing="0" w:after="0" w:afterAutospacing="0"/>
        <w:ind w:firstLineChars="200" w:firstLine="420"/>
        <w:jc w:val="both"/>
        <w:rPr>
          <w:sz w:val="21"/>
        </w:rPr>
      </w:pPr>
    </w:p>
    <w:p w:rsidR="00403CD6" w:rsidRDefault="00403CD6">
      <w:pPr>
        <w:pStyle w:val="aa"/>
        <w:spacing w:before="0" w:beforeAutospacing="0" w:after="0" w:afterAutospacing="0"/>
        <w:ind w:firstLineChars="200" w:firstLine="420"/>
        <w:jc w:val="both"/>
        <w:rPr>
          <w:sz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4"/>
        <w:gridCol w:w="1559"/>
        <w:gridCol w:w="1419"/>
        <w:gridCol w:w="1277"/>
        <w:gridCol w:w="1277"/>
        <w:gridCol w:w="1092"/>
        <w:gridCol w:w="1565"/>
      </w:tblGrid>
      <w:tr w:rsidR="00403CD6">
        <w:trPr>
          <w:trHeight w:val="465"/>
        </w:trPr>
        <w:tc>
          <w:tcPr>
            <w:tcW w:w="845"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上期或上期期末</w:t>
            </w:r>
          </w:p>
        </w:tc>
        <w:tc>
          <w:tcPr>
            <w:tcW w:w="791"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机制纸</w:t>
            </w:r>
          </w:p>
        </w:tc>
        <w:tc>
          <w:tcPr>
            <w:tcW w:w="720"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金融服务</w:t>
            </w:r>
          </w:p>
        </w:tc>
        <w:tc>
          <w:tcPr>
            <w:tcW w:w="648"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酒店及物业租金</w:t>
            </w:r>
          </w:p>
        </w:tc>
        <w:tc>
          <w:tcPr>
            <w:tcW w:w="648"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其他</w:t>
            </w:r>
          </w:p>
        </w:tc>
        <w:tc>
          <w:tcPr>
            <w:tcW w:w="554"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抵消</w:t>
            </w:r>
          </w:p>
        </w:tc>
        <w:tc>
          <w:tcPr>
            <w:tcW w:w="794" w:type="pct"/>
            <w:shd w:val="clear" w:color="000000" w:fill="D3D3D3"/>
            <w:vAlign w:val="center"/>
          </w:tcPr>
          <w:p w:rsidR="00403CD6" w:rsidRDefault="00E91A5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合计</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营业收入</w:t>
            </w:r>
          </w:p>
        </w:tc>
        <w:tc>
          <w:tcPr>
            <w:tcW w:w="791"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26,058,035,388.40</w:t>
            </w:r>
          </w:p>
        </w:tc>
        <w:tc>
          <w:tcPr>
            <w:tcW w:w="720"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301,292,707.38</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254,837,443.63</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1,219,004,554.91</w:t>
            </w:r>
          </w:p>
        </w:tc>
        <w:tc>
          <w:tcPr>
            <w:tcW w:w="55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1,224,599,866.12</w:t>
            </w:r>
          </w:p>
        </w:tc>
        <w:tc>
          <w:tcPr>
            <w:tcW w:w="79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26,608,570,228.20</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其中：对外交易收入</w:t>
            </w:r>
          </w:p>
        </w:tc>
        <w:tc>
          <w:tcPr>
            <w:tcW w:w="791"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25,702,327,302.60</w:t>
            </w:r>
          </w:p>
        </w:tc>
        <w:tc>
          <w:tcPr>
            <w:tcW w:w="720"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164,338,689.66</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219,640,822.73</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522,263,413.21</w:t>
            </w:r>
          </w:p>
        </w:tc>
        <w:tc>
          <w:tcPr>
            <w:tcW w:w="55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79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26,608,570,228.20</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lastRenderedPageBreak/>
              <w:t>分部间交易收入</w:t>
            </w:r>
          </w:p>
        </w:tc>
        <w:tc>
          <w:tcPr>
            <w:tcW w:w="791"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355,708,085.80</w:t>
            </w:r>
          </w:p>
        </w:tc>
        <w:tc>
          <w:tcPr>
            <w:tcW w:w="720"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136,954,017.72</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35,196,620.90</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696,741,141.70</w:t>
            </w:r>
          </w:p>
        </w:tc>
        <w:tc>
          <w:tcPr>
            <w:tcW w:w="55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1,224,599,866.12</w:t>
            </w:r>
          </w:p>
        </w:tc>
        <w:tc>
          <w:tcPr>
            <w:tcW w:w="79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其中：主营业务收入</w:t>
            </w:r>
          </w:p>
        </w:tc>
        <w:tc>
          <w:tcPr>
            <w:tcW w:w="791"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25,788,767,491.17</w:t>
            </w:r>
          </w:p>
        </w:tc>
        <w:tc>
          <w:tcPr>
            <w:tcW w:w="720"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301,198,367.76</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243,565,800.51</w:t>
            </w:r>
          </w:p>
        </w:tc>
        <w:tc>
          <w:tcPr>
            <w:tcW w:w="648"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849,762,727.46</w:t>
            </w:r>
          </w:p>
        </w:tc>
        <w:tc>
          <w:tcPr>
            <w:tcW w:w="55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814,661,161.42</w:t>
            </w:r>
          </w:p>
        </w:tc>
        <w:tc>
          <w:tcPr>
            <w:tcW w:w="79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26,368,633,225.48</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营业成本</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24,386,288,002.52</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204,302,382.76</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130,727,028.36</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1,168,316,010.65</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1,444,147,124.36</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24,445,486,299.93</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其中：主营业务成本</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23,814,132,560.42</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204,302,382.76</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122,251,073.59</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794,535,943.46</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693,752,622.08</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24,241,469,338.15</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营业费用</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200,500,812.07</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145,808.06</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23,056,705.85</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7,298,824.54</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2,513.09</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230,999,637.43</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其中：工资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96,356,812.71</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72,901.73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8,678,304.12</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2,861,300.98</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107,969,319.54</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折旧费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1,512,250.48</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3,152,288.23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12,696.87</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4,677,235.58</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办公费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2,423,476.31</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312,114.69</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2,058.20</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2,737,649.20</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差旅费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27,622,492.10</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12,886.33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401,223.13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595,230.03</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28,631,831.59</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销售佣金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806,731.10</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5,681,138.21</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6,487,869.31</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租赁费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7,258,810.13</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84,716.99</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7,343,527.12</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招待费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49,883,644.70</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60,020.00</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8,206.24</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1,046,790.23</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50,998,661.17</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仓储费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411,253.96</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411,253.96</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其他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14,636,594.54</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4,823,431.23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2,284,777.28</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2,513.09</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21,742,289.96</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营业利润/(亏损)</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-1,160,171,360.20</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-136,565,046.01</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-155,575,612.67</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-77,629,857.27</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163,702,443.40</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-1,693,644,319.55</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资产总额</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86,100,280,962.71</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22,071,239,021.47</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9,506,827,255.33</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8,256,043,256.86</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46,447,337,542.79</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79,487,052,953.58</w:t>
            </w:r>
          </w:p>
        </w:tc>
      </w:tr>
      <w:tr w:rsidR="00403CD6">
        <w:trPr>
          <w:trHeight w:val="28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负债总额</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64,520,459,199.32</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4,546,731,289.22</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4,386,780,705.48</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2,745,589,649.10</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17,810,363,735.17</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58,389,197,107.95</w:t>
            </w:r>
          </w:p>
        </w:tc>
      </w:tr>
      <w:tr w:rsidR="00403CD6">
        <w:trPr>
          <w:trHeight w:val="690"/>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当期发生的在建工程成本总额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475,949,831.35</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2,547,924.54</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478,497,755.89</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购置的固定资产 </w:t>
            </w:r>
          </w:p>
        </w:tc>
        <w:tc>
          <w:tcPr>
            <w:tcW w:w="791"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295,923,899.03</w:t>
            </w:r>
          </w:p>
        </w:tc>
        <w:tc>
          <w:tcPr>
            <w:tcW w:w="720"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273,136.94</w:t>
            </w:r>
          </w:p>
        </w:tc>
        <w:tc>
          <w:tcPr>
            <w:tcW w:w="648"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2,265,531.65</w:t>
            </w:r>
          </w:p>
        </w:tc>
        <w:tc>
          <w:tcPr>
            <w:tcW w:w="55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5,638,663.73</w:t>
            </w:r>
          </w:p>
        </w:tc>
        <w:tc>
          <w:tcPr>
            <w:tcW w:w="794" w:type="pct"/>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292,823,903.89</w:t>
            </w:r>
          </w:p>
        </w:tc>
      </w:tr>
      <w:tr w:rsidR="00403CD6">
        <w:trPr>
          <w:trHeight w:val="465"/>
        </w:trPr>
        <w:tc>
          <w:tcPr>
            <w:tcW w:w="845" w:type="pct"/>
            <w:shd w:val="clear" w:color="auto" w:fill="auto"/>
            <w:vAlign w:val="center"/>
          </w:tcPr>
          <w:p w:rsidR="00403CD6" w:rsidRDefault="00E91A59">
            <w:pPr>
              <w:widowControl/>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购置的无形资产 </w:t>
            </w:r>
          </w:p>
        </w:tc>
        <w:tc>
          <w:tcPr>
            <w:tcW w:w="791"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148,906,631.36</w:t>
            </w:r>
          </w:p>
        </w:tc>
        <w:tc>
          <w:tcPr>
            <w:tcW w:w="720"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1,278,301.89</w:t>
            </w:r>
          </w:p>
        </w:tc>
        <w:tc>
          <w:tcPr>
            <w:tcW w:w="648" w:type="pct"/>
            <w:shd w:val="clear" w:color="auto" w:fill="auto"/>
            <w:vAlign w:val="center"/>
          </w:tcPr>
          <w:p w:rsidR="00403CD6" w:rsidRDefault="00E91A59">
            <w:pPr>
              <w:widowControl/>
              <w:jc w:val="right"/>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w:t>
            </w:r>
          </w:p>
        </w:tc>
        <w:tc>
          <w:tcPr>
            <w:tcW w:w="648" w:type="pct"/>
            <w:shd w:val="clear" w:color="auto" w:fill="auto"/>
            <w:vAlign w:val="center"/>
          </w:tcPr>
          <w:p w:rsidR="00403CD6" w:rsidRDefault="00E91A59">
            <w:pPr>
              <w:widowControl/>
              <w:jc w:val="right"/>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w:t>
            </w:r>
          </w:p>
        </w:tc>
        <w:tc>
          <w:tcPr>
            <w:tcW w:w="554" w:type="pct"/>
            <w:shd w:val="clear" w:color="auto" w:fill="auto"/>
            <w:vAlign w:val="center"/>
          </w:tcPr>
          <w:p w:rsidR="00403CD6" w:rsidRDefault="00E91A59">
            <w:pPr>
              <w:widowControl/>
              <w:jc w:val="right"/>
              <w:rPr>
                <w:rFonts w:ascii="宋体" w:eastAsia="宋体" w:hAnsi="宋体" w:cs="宋体"/>
                <w:color w:val="000000"/>
                <w:kern w:val="0"/>
                <w:sz w:val="18"/>
                <w:szCs w:val="18"/>
              </w:rPr>
            </w:pPr>
            <w:r>
              <w:rPr>
                <w:rFonts w:ascii="宋体" w:eastAsia="宋体" w:hAnsi="宋体" w:cs="宋体" w:hint="eastAsia"/>
                <w:color w:val="000000"/>
                <w:kern w:val="0"/>
                <w:sz w:val="18"/>
                <w:szCs w:val="18"/>
              </w:rPr>
              <w:t xml:space="preserve">　</w:t>
            </w:r>
          </w:p>
        </w:tc>
        <w:tc>
          <w:tcPr>
            <w:tcW w:w="794" w:type="pct"/>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150,184,933.25</w:t>
            </w:r>
          </w:p>
        </w:tc>
      </w:tr>
    </w:tbl>
    <w:p w:rsidR="00403CD6" w:rsidRDefault="00E91A59">
      <w:pPr>
        <w:pStyle w:val="30"/>
        <w:numPr>
          <w:ilvl w:val="0"/>
          <w:numId w:val="4"/>
        </w:numPr>
        <w:spacing w:line="280" w:lineRule="exact"/>
        <w:jc w:val="left"/>
        <w:rPr>
          <w:rFonts w:ascii="宋体" w:hAnsi="宋体" w:cs="宋体"/>
          <w:sz w:val="21"/>
        </w:rPr>
      </w:pPr>
      <w:r>
        <w:rPr>
          <w:rFonts w:ascii="宋体" w:hAnsi="宋体" w:cs="宋体" w:hint="eastAsia"/>
          <w:sz w:val="21"/>
        </w:rPr>
        <w:t>其他</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1</w:t>
      </w:r>
      <w:r>
        <w:rPr>
          <w:rFonts w:ascii="Times New Roman" w:eastAsiaTheme="minorEastAsia" w:hAnsi="Times New Roman" w:cs="Times New Roman" w:hint="eastAsia"/>
          <w:sz w:val="18"/>
          <w:szCs w:val="18"/>
        </w:rPr>
        <w:t>）晨鸣控股（香港）有限公司（以下简称“香港晨鸣控股”）为晨鸣控股有限公司（以下简称“晨鸣控股”）的全资子公司，香港晨鸣控股所持本公司</w:t>
      </w:r>
      <w:r>
        <w:rPr>
          <w:rFonts w:ascii="Times New Roman" w:eastAsiaTheme="minorEastAsia" w:hAnsi="Times New Roman" w:cs="Times New Roman" w:hint="eastAsia"/>
          <w:sz w:val="18"/>
          <w:szCs w:val="18"/>
        </w:rPr>
        <w:t xml:space="preserve"> 21,072</w:t>
      </w:r>
      <w:r>
        <w:rPr>
          <w:rFonts w:ascii="Times New Roman" w:eastAsiaTheme="minorEastAsia" w:hAnsi="Times New Roman" w:cs="Times New Roman" w:hint="eastAsia"/>
          <w:sz w:val="18"/>
          <w:szCs w:val="18"/>
        </w:rPr>
        <w:t>万股</w:t>
      </w:r>
      <w:r>
        <w:rPr>
          <w:rFonts w:ascii="Times New Roman" w:eastAsiaTheme="minorEastAsia" w:hAnsi="Times New Roman" w:cs="Times New Roman" w:hint="eastAsia"/>
          <w:sz w:val="18"/>
          <w:szCs w:val="18"/>
        </w:rPr>
        <w:t>B</w:t>
      </w:r>
      <w:r>
        <w:rPr>
          <w:rFonts w:ascii="Times New Roman" w:eastAsiaTheme="minorEastAsia" w:hAnsi="Times New Roman" w:cs="Times New Roman" w:hint="eastAsia"/>
          <w:sz w:val="18"/>
          <w:szCs w:val="18"/>
        </w:rPr>
        <w:t>股（占本公司总股本</w:t>
      </w:r>
      <w:r>
        <w:rPr>
          <w:rFonts w:ascii="Times New Roman" w:eastAsiaTheme="minorEastAsia" w:hAnsi="Times New Roman" w:cs="Times New Roman" w:hint="eastAsia"/>
          <w:sz w:val="18"/>
          <w:szCs w:val="18"/>
        </w:rPr>
        <w:t>7.16%</w:t>
      </w:r>
      <w:r>
        <w:rPr>
          <w:rFonts w:ascii="Times New Roman" w:eastAsiaTheme="minorEastAsia" w:hAnsi="Times New Roman" w:cs="Times New Roman" w:hint="eastAsia"/>
          <w:sz w:val="18"/>
          <w:szCs w:val="18"/>
        </w:rPr>
        <w:t>）和</w:t>
      </w:r>
      <w:r>
        <w:rPr>
          <w:rFonts w:ascii="Times New Roman" w:eastAsiaTheme="minorEastAsia" w:hAnsi="Times New Roman" w:cs="Times New Roman" w:hint="eastAsia"/>
          <w:sz w:val="18"/>
          <w:szCs w:val="18"/>
        </w:rPr>
        <w:t>15,341</w:t>
      </w:r>
      <w:r>
        <w:rPr>
          <w:rFonts w:ascii="Times New Roman" w:eastAsiaTheme="minorEastAsia" w:hAnsi="Times New Roman" w:cs="Times New Roman" w:hint="eastAsia"/>
          <w:sz w:val="18"/>
          <w:szCs w:val="18"/>
        </w:rPr>
        <w:t>万股</w:t>
      </w:r>
      <w:r>
        <w:rPr>
          <w:rFonts w:ascii="Times New Roman" w:eastAsiaTheme="minorEastAsia" w:hAnsi="Times New Roman" w:cs="Times New Roman" w:hint="eastAsia"/>
          <w:sz w:val="18"/>
          <w:szCs w:val="18"/>
        </w:rPr>
        <w:t>H</w:t>
      </w:r>
      <w:r>
        <w:rPr>
          <w:rFonts w:ascii="Times New Roman" w:eastAsiaTheme="minorEastAsia" w:hAnsi="Times New Roman" w:cs="Times New Roman" w:hint="eastAsia"/>
          <w:sz w:val="18"/>
          <w:szCs w:val="18"/>
        </w:rPr>
        <w:t>股（占本公司总股本</w:t>
      </w:r>
      <w:r>
        <w:rPr>
          <w:rFonts w:ascii="Times New Roman" w:eastAsiaTheme="minorEastAsia" w:hAnsi="Times New Roman" w:cs="Times New Roman" w:hint="eastAsia"/>
          <w:sz w:val="18"/>
          <w:szCs w:val="18"/>
        </w:rPr>
        <w:t>5.22%</w:t>
      </w:r>
      <w:r>
        <w:rPr>
          <w:rFonts w:ascii="Times New Roman" w:eastAsiaTheme="minorEastAsia" w:hAnsi="Times New Roman" w:cs="Times New Roman" w:hint="eastAsia"/>
          <w:sz w:val="18"/>
          <w:szCs w:val="18"/>
        </w:rPr>
        <w:t>）与三家境外机构（以下简称“贷款人”）开展的股票融资业务纠纷案件，香港晨鸣控股已委托律师在相关法律管辖地法院采取了诉讼、仲裁措施。</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6</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28</w:t>
      </w:r>
      <w:r>
        <w:rPr>
          <w:rFonts w:ascii="Times New Roman" w:eastAsiaTheme="minorEastAsia" w:hAnsi="Times New Roman" w:cs="Times New Roman" w:hint="eastAsia"/>
          <w:sz w:val="18"/>
          <w:szCs w:val="18"/>
        </w:rPr>
        <w:t>日，香港晨鸣控股向美国纽约法院提交了起诉状。</w:t>
      </w: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10</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29</w:t>
      </w:r>
      <w:r>
        <w:rPr>
          <w:rFonts w:ascii="Times New Roman" w:eastAsiaTheme="minorEastAsia" w:hAnsi="Times New Roman" w:cs="Times New Roman" w:hint="eastAsia"/>
          <w:sz w:val="18"/>
          <w:szCs w:val="18"/>
        </w:rPr>
        <w:t>日，美国纽约法院举行了审前会议，指令原被告双方需在</w:t>
      </w:r>
      <w:r>
        <w:rPr>
          <w:rFonts w:ascii="Times New Roman" w:eastAsiaTheme="minorEastAsia" w:hAnsi="Times New Roman" w:cs="Times New Roman" w:hint="eastAsia"/>
          <w:sz w:val="18"/>
          <w:szCs w:val="18"/>
        </w:rPr>
        <w:t>2025</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28</w:t>
      </w:r>
      <w:r>
        <w:rPr>
          <w:rFonts w:ascii="Times New Roman" w:eastAsiaTheme="minorEastAsia" w:hAnsi="Times New Roman" w:cs="Times New Roman" w:hint="eastAsia"/>
          <w:sz w:val="18"/>
          <w:szCs w:val="18"/>
        </w:rPr>
        <w:t>日前完成两轮交互答辩。</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11</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22</w:t>
      </w:r>
      <w:r>
        <w:rPr>
          <w:rFonts w:ascii="Times New Roman" w:eastAsiaTheme="minorEastAsia" w:hAnsi="Times New Roman" w:cs="Times New Roman" w:hint="eastAsia"/>
          <w:sz w:val="18"/>
          <w:szCs w:val="18"/>
        </w:rPr>
        <w:t>日，香港晨鸣控股向美国法院提交了修改后的起诉状；并于</w:t>
      </w:r>
      <w:r>
        <w:rPr>
          <w:rFonts w:ascii="Times New Roman" w:eastAsiaTheme="minorEastAsia" w:hAnsi="Times New Roman" w:cs="Times New Roman" w:hint="eastAsia"/>
          <w:sz w:val="18"/>
          <w:szCs w:val="18"/>
        </w:rPr>
        <w:t>2025</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2</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15</w:t>
      </w:r>
      <w:r>
        <w:rPr>
          <w:rFonts w:ascii="Times New Roman" w:eastAsiaTheme="minorEastAsia" w:hAnsi="Times New Roman" w:cs="Times New Roman" w:hint="eastAsia"/>
          <w:sz w:val="18"/>
          <w:szCs w:val="18"/>
        </w:rPr>
        <w:t>日，针对被告的抗辩提交了答辩状，待法院对后续程序做进一步指示。</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截至本公告披露日，晨鸣控股生产经营正常，并正积极通过法律途径维护自身合法权益。</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本次涉及的股票存在无法返还的风险，可能将导致晨鸣控股对本公司的持股比例降低，但对晨鸣控股的第一大股东地位无影响，对本公司的控制权无影响。</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w:t>
      </w:r>
      <w:r>
        <w:rPr>
          <w:rFonts w:ascii="Times New Roman" w:eastAsiaTheme="minorEastAsia" w:hAnsi="Times New Roman" w:cs="Times New Roman" w:hint="eastAsia"/>
          <w:sz w:val="18"/>
          <w:szCs w:val="18"/>
        </w:rPr>
        <w:t>2</w:t>
      </w:r>
      <w:r>
        <w:rPr>
          <w:rFonts w:ascii="Times New Roman" w:eastAsiaTheme="minorEastAsia" w:hAnsi="Times New Roman" w:cs="Times New Roman" w:hint="eastAsia"/>
          <w:sz w:val="18"/>
          <w:szCs w:val="18"/>
        </w:rPr>
        <w:t>）本公司因合资经营纠纷被</w:t>
      </w:r>
      <w:r>
        <w:rPr>
          <w:rFonts w:ascii="Times New Roman" w:eastAsiaTheme="minorEastAsia" w:hAnsi="Times New Roman" w:cs="Times New Roman" w:hint="eastAsia"/>
          <w:sz w:val="18"/>
          <w:szCs w:val="18"/>
        </w:rPr>
        <w:t>ArjowigginsHKK2Limited</w:t>
      </w:r>
      <w:r>
        <w:rPr>
          <w:rFonts w:ascii="Times New Roman" w:eastAsiaTheme="minorEastAsia" w:hAnsi="Times New Roman" w:cs="Times New Roman" w:hint="eastAsia"/>
          <w:sz w:val="18"/>
          <w:szCs w:val="18"/>
        </w:rPr>
        <w:t>（以下简称“</w:t>
      </w:r>
      <w:r>
        <w:rPr>
          <w:rFonts w:ascii="Times New Roman" w:eastAsiaTheme="minorEastAsia" w:hAnsi="Times New Roman" w:cs="Times New Roman" w:hint="eastAsia"/>
          <w:sz w:val="18"/>
          <w:szCs w:val="18"/>
        </w:rPr>
        <w:t>HKK2</w:t>
      </w:r>
      <w:r>
        <w:rPr>
          <w:rFonts w:ascii="Times New Roman" w:eastAsiaTheme="minorEastAsia" w:hAnsi="Times New Roman" w:cs="Times New Roman" w:hint="eastAsia"/>
          <w:sz w:val="18"/>
          <w:szCs w:val="18"/>
        </w:rPr>
        <w:t>公司”）提交</w:t>
      </w:r>
      <w:r>
        <w:rPr>
          <w:rFonts w:ascii="Times New Roman" w:eastAsiaTheme="minorEastAsia" w:hAnsi="Times New Roman" w:cs="Times New Roman" w:hint="eastAsia"/>
          <w:sz w:val="18"/>
          <w:szCs w:val="18"/>
        </w:rPr>
        <w:t>H</w:t>
      </w:r>
      <w:r>
        <w:rPr>
          <w:rFonts w:ascii="Times New Roman" w:eastAsiaTheme="minorEastAsia" w:hAnsi="Times New Roman" w:cs="Times New Roman" w:hint="eastAsia"/>
          <w:sz w:val="18"/>
          <w:szCs w:val="18"/>
        </w:rPr>
        <w:t>股清盘一案，于</w:t>
      </w:r>
      <w:r>
        <w:rPr>
          <w:rFonts w:ascii="Times New Roman" w:eastAsiaTheme="minorEastAsia" w:hAnsi="Times New Roman" w:cs="Times New Roman" w:hint="eastAsia"/>
          <w:sz w:val="18"/>
          <w:szCs w:val="18"/>
        </w:rPr>
        <w:t>2022</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6</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14</w:t>
      </w:r>
      <w:r>
        <w:rPr>
          <w:rFonts w:ascii="Times New Roman" w:eastAsiaTheme="minorEastAsia" w:hAnsi="Times New Roman" w:cs="Times New Roman" w:hint="eastAsia"/>
          <w:sz w:val="18"/>
          <w:szCs w:val="18"/>
        </w:rPr>
        <w:t>日香港终审法院</w:t>
      </w:r>
      <w:proofErr w:type="gramStart"/>
      <w:r>
        <w:rPr>
          <w:rFonts w:ascii="Times New Roman" w:eastAsiaTheme="minorEastAsia" w:hAnsi="Times New Roman" w:cs="Times New Roman" w:hint="eastAsia"/>
          <w:sz w:val="18"/>
          <w:szCs w:val="18"/>
        </w:rPr>
        <w:t>作出</w:t>
      </w:r>
      <w:proofErr w:type="gramEnd"/>
      <w:r>
        <w:rPr>
          <w:rFonts w:ascii="Times New Roman" w:eastAsiaTheme="minorEastAsia" w:hAnsi="Times New Roman" w:cs="Times New Roman" w:hint="eastAsia"/>
          <w:sz w:val="18"/>
          <w:szCs w:val="18"/>
        </w:rPr>
        <w:t>判决，本公司已经支付了相关赔偿金额。</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t>2022</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10</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25</w:t>
      </w:r>
      <w:r>
        <w:rPr>
          <w:rFonts w:ascii="Times New Roman" w:eastAsiaTheme="minorEastAsia" w:hAnsi="Times New Roman" w:cs="Times New Roman" w:hint="eastAsia"/>
          <w:sz w:val="18"/>
          <w:szCs w:val="18"/>
        </w:rPr>
        <w:t>日，本公司委托香港法律顾问向原</w:t>
      </w:r>
      <w:proofErr w:type="gramStart"/>
      <w:r>
        <w:rPr>
          <w:rFonts w:ascii="Times New Roman" w:eastAsiaTheme="minorEastAsia" w:hAnsi="Times New Roman" w:cs="Times New Roman" w:hint="eastAsia"/>
          <w:sz w:val="18"/>
          <w:szCs w:val="18"/>
        </w:rPr>
        <w:t>讼</w:t>
      </w:r>
      <w:proofErr w:type="gramEnd"/>
      <w:r>
        <w:rPr>
          <w:rFonts w:ascii="Times New Roman" w:eastAsiaTheme="minorEastAsia" w:hAnsi="Times New Roman" w:cs="Times New Roman" w:hint="eastAsia"/>
          <w:sz w:val="18"/>
          <w:szCs w:val="18"/>
        </w:rPr>
        <w:t>法庭申请寻求撤销或押后由</w:t>
      </w:r>
      <w:r>
        <w:rPr>
          <w:rFonts w:ascii="Times New Roman" w:eastAsiaTheme="minorEastAsia" w:hAnsi="Times New Roman" w:cs="Times New Roman" w:hint="eastAsia"/>
          <w:sz w:val="18"/>
          <w:szCs w:val="18"/>
        </w:rPr>
        <w:t xml:space="preserve">HKK2 </w:t>
      </w:r>
      <w:r>
        <w:rPr>
          <w:rFonts w:ascii="Times New Roman" w:eastAsiaTheme="minorEastAsia" w:hAnsi="Times New Roman" w:cs="Times New Roman" w:hint="eastAsia"/>
          <w:sz w:val="18"/>
          <w:szCs w:val="18"/>
        </w:rPr>
        <w:t>对本公司提出的清盘呈请。</w:t>
      </w:r>
      <w:r>
        <w:rPr>
          <w:rFonts w:ascii="Times New Roman" w:eastAsiaTheme="minorEastAsia" w:hAnsi="Times New Roman" w:cs="Times New Roman" w:hint="eastAsia"/>
          <w:sz w:val="18"/>
          <w:szCs w:val="18"/>
        </w:rPr>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7</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25</w:t>
      </w:r>
      <w:r>
        <w:rPr>
          <w:rFonts w:ascii="Times New Roman" w:eastAsiaTheme="minorEastAsia" w:hAnsi="Times New Roman" w:cs="Times New Roman" w:hint="eastAsia"/>
          <w:sz w:val="18"/>
          <w:szCs w:val="18"/>
        </w:rPr>
        <w:t>日，原</w:t>
      </w:r>
      <w:proofErr w:type="gramStart"/>
      <w:r>
        <w:rPr>
          <w:rFonts w:ascii="Times New Roman" w:eastAsiaTheme="minorEastAsia" w:hAnsi="Times New Roman" w:cs="Times New Roman" w:hint="eastAsia"/>
          <w:sz w:val="18"/>
          <w:szCs w:val="18"/>
        </w:rPr>
        <w:t>讼</w:t>
      </w:r>
      <w:proofErr w:type="gramEnd"/>
      <w:r>
        <w:rPr>
          <w:rFonts w:ascii="Times New Roman" w:eastAsiaTheme="minorEastAsia" w:hAnsi="Times New Roman" w:cs="Times New Roman" w:hint="eastAsia"/>
          <w:sz w:val="18"/>
          <w:szCs w:val="18"/>
        </w:rPr>
        <w:t>法庭就上述申请进行聆讯。</w:t>
      </w:r>
    </w:p>
    <w:p w:rsidR="00403CD6" w:rsidRDefault="00E91A59">
      <w:pPr>
        <w:pStyle w:val="aa"/>
        <w:spacing w:before="0" w:beforeAutospacing="0" w:after="0" w:afterAutospacing="0"/>
        <w:ind w:firstLineChars="200" w:firstLine="360"/>
        <w:jc w:val="both"/>
        <w:rPr>
          <w:rFonts w:ascii="Times New Roman" w:eastAsiaTheme="minorEastAsia" w:hAnsi="Times New Roman" w:cs="Times New Roman"/>
          <w:sz w:val="18"/>
          <w:szCs w:val="18"/>
        </w:rPr>
      </w:pPr>
      <w:r>
        <w:rPr>
          <w:rFonts w:ascii="Times New Roman" w:eastAsiaTheme="minorEastAsia" w:hAnsi="Times New Roman" w:cs="Times New Roman" w:hint="eastAsia"/>
          <w:sz w:val="18"/>
          <w:szCs w:val="18"/>
        </w:rPr>
        <w:lastRenderedPageBreak/>
        <w:t>2023</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8</w:t>
      </w:r>
      <w:r>
        <w:rPr>
          <w:rFonts w:ascii="Times New Roman" w:eastAsiaTheme="minorEastAsia" w:hAnsi="Times New Roman" w:cs="Times New Roman" w:hint="eastAsia"/>
          <w:sz w:val="18"/>
          <w:szCs w:val="18"/>
        </w:rPr>
        <w:t>月</w:t>
      </w:r>
      <w:r>
        <w:rPr>
          <w:rFonts w:ascii="Times New Roman" w:eastAsiaTheme="minorEastAsia" w:hAnsi="Times New Roman" w:cs="Times New Roman" w:hint="eastAsia"/>
          <w:sz w:val="18"/>
          <w:szCs w:val="18"/>
        </w:rPr>
        <w:t>10</w:t>
      </w:r>
      <w:r>
        <w:rPr>
          <w:rFonts w:ascii="Times New Roman" w:eastAsiaTheme="minorEastAsia" w:hAnsi="Times New Roman" w:cs="Times New Roman" w:hint="eastAsia"/>
          <w:sz w:val="18"/>
          <w:szCs w:val="18"/>
        </w:rPr>
        <w:t>日，本公司收到原</w:t>
      </w:r>
      <w:proofErr w:type="gramStart"/>
      <w:r>
        <w:rPr>
          <w:rFonts w:ascii="Times New Roman" w:eastAsiaTheme="minorEastAsia" w:hAnsi="Times New Roman" w:cs="Times New Roman" w:hint="eastAsia"/>
          <w:sz w:val="18"/>
          <w:szCs w:val="18"/>
        </w:rPr>
        <w:t>讼</w:t>
      </w:r>
      <w:proofErr w:type="gramEnd"/>
      <w:r>
        <w:rPr>
          <w:rFonts w:ascii="Times New Roman" w:eastAsiaTheme="minorEastAsia" w:hAnsi="Times New Roman" w:cs="Times New Roman" w:hint="eastAsia"/>
          <w:sz w:val="18"/>
          <w:szCs w:val="18"/>
        </w:rPr>
        <w:t>法庭法官夏利士</w:t>
      </w:r>
      <w:proofErr w:type="gramStart"/>
      <w:r>
        <w:rPr>
          <w:rFonts w:ascii="Times New Roman" w:eastAsiaTheme="minorEastAsia" w:hAnsi="Times New Roman" w:cs="Times New Roman" w:hint="eastAsia"/>
          <w:sz w:val="18"/>
          <w:szCs w:val="18"/>
        </w:rPr>
        <w:t>作出</w:t>
      </w:r>
      <w:proofErr w:type="gramEnd"/>
      <w:r>
        <w:rPr>
          <w:rFonts w:ascii="Times New Roman" w:eastAsiaTheme="minorEastAsia" w:hAnsi="Times New Roman" w:cs="Times New Roman" w:hint="eastAsia"/>
          <w:sz w:val="18"/>
          <w:szCs w:val="18"/>
        </w:rPr>
        <w:t>的判决，鉴于本公司</w:t>
      </w:r>
      <w:r>
        <w:rPr>
          <w:rFonts w:ascii="Times New Roman" w:eastAsiaTheme="minorEastAsia" w:hAnsi="Times New Roman" w:cs="Times New Roman" w:hint="eastAsia"/>
          <w:sz w:val="18"/>
          <w:szCs w:val="18"/>
        </w:rPr>
        <w:t xml:space="preserve"> 2022</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 xml:space="preserve"> 6 </w:t>
      </w:r>
      <w:r>
        <w:rPr>
          <w:rFonts w:ascii="Times New Roman" w:eastAsiaTheme="minorEastAsia" w:hAnsi="Times New Roman" w:cs="Times New Roman" w:hint="eastAsia"/>
          <w:sz w:val="18"/>
          <w:szCs w:val="18"/>
        </w:rPr>
        <w:t>月于香港国际仲裁中心针对合资合同提出的仲裁申请为清盘程序中公司向</w:t>
      </w:r>
      <w:r>
        <w:rPr>
          <w:rFonts w:ascii="Times New Roman" w:eastAsiaTheme="minorEastAsia" w:hAnsi="Times New Roman" w:cs="Times New Roman" w:hint="eastAsia"/>
          <w:sz w:val="18"/>
          <w:szCs w:val="18"/>
        </w:rPr>
        <w:t>HKK2</w:t>
      </w:r>
      <w:proofErr w:type="gramStart"/>
      <w:r>
        <w:rPr>
          <w:rFonts w:ascii="Times New Roman" w:eastAsiaTheme="minorEastAsia" w:hAnsi="Times New Roman" w:cs="Times New Roman" w:hint="eastAsia"/>
          <w:sz w:val="18"/>
          <w:szCs w:val="18"/>
        </w:rPr>
        <w:t>交叉申索的</w:t>
      </w:r>
      <w:proofErr w:type="gramEnd"/>
      <w:r>
        <w:rPr>
          <w:rFonts w:ascii="Times New Roman" w:eastAsiaTheme="minorEastAsia" w:hAnsi="Times New Roman" w:cs="Times New Roman" w:hint="eastAsia"/>
          <w:sz w:val="18"/>
          <w:szCs w:val="18"/>
        </w:rPr>
        <w:t>基础，裁定搁置清盘呈请，相关仲裁聆讯已于</w:t>
      </w:r>
      <w:r>
        <w:rPr>
          <w:rFonts w:ascii="Times New Roman" w:eastAsiaTheme="minorEastAsia" w:hAnsi="Times New Roman" w:cs="Times New Roman" w:hint="eastAsia"/>
          <w:sz w:val="18"/>
          <w:szCs w:val="18"/>
        </w:rPr>
        <w:t xml:space="preserve"> 2024</w:t>
      </w:r>
      <w:r>
        <w:rPr>
          <w:rFonts w:ascii="Times New Roman" w:eastAsiaTheme="minorEastAsia" w:hAnsi="Times New Roman" w:cs="Times New Roman" w:hint="eastAsia"/>
          <w:sz w:val="18"/>
          <w:szCs w:val="18"/>
        </w:rPr>
        <w:t>年</w:t>
      </w:r>
      <w:r>
        <w:rPr>
          <w:rFonts w:ascii="Times New Roman" w:eastAsiaTheme="minorEastAsia" w:hAnsi="Times New Roman" w:cs="Times New Roman" w:hint="eastAsia"/>
          <w:sz w:val="18"/>
          <w:szCs w:val="18"/>
        </w:rPr>
        <w:t>5</w:t>
      </w:r>
      <w:r>
        <w:rPr>
          <w:rFonts w:ascii="Times New Roman" w:eastAsiaTheme="minorEastAsia" w:hAnsi="Times New Roman" w:cs="Times New Roman" w:hint="eastAsia"/>
          <w:sz w:val="18"/>
          <w:szCs w:val="18"/>
        </w:rPr>
        <w:t>月在香港国际仲裁中心审理完成，待出裁决结果。</w:t>
      </w:r>
    </w:p>
    <w:p w:rsidR="00403CD6" w:rsidRDefault="00E91A59">
      <w:pPr>
        <w:pStyle w:val="2"/>
        <w:spacing w:before="300" w:after="300" w:line="320" w:lineRule="exact"/>
        <w:rPr>
          <w:rFonts w:ascii="宋体" w:eastAsia="宋体" w:hAnsi="宋体" w:cs="宋体"/>
          <w:b/>
          <w:bCs/>
          <w:sz w:val="24"/>
          <w:szCs w:val="24"/>
        </w:rPr>
      </w:pPr>
      <w:r>
        <w:rPr>
          <w:rFonts w:ascii="宋体" w:eastAsia="宋体" w:hAnsi="宋体" w:cs="宋体" w:hint="eastAsia"/>
          <w:b/>
          <w:bCs/>
          <w:sz w:val="24"/>
          <w:szCs w:val="24"/>
        </w:rPr>
        <w:t>十九、母公司财务报表主要项目注释</w:t>
      </w:r>
    </w:p>
    <w:p w:rsidR="00403CD6" w:rsidRDefault="00E91A59">
      <w:pPr>
        <w:keepNext/>
        <w:keepLines/>
        <w:spacing w:before="300" w:after="300" w:line="280" w:lineRule="exact"/>
        <w:outlineLvl w:val="2"/>
        <w:rPr>
          <w:rFonts w:ascii="宋体" w:eastAsia="宋体" w:hAnsi="宋体" w:cs="宋体"/>
          <w:b/>
          <w:bCs/>
          <w:szCs w:val="21"/>
        </w:rPr>
      </w:pPr>
      <w:bookmarkStart w:id="181" w:name="_Toc989536"/>
      <w:r>
        <w:rPr>
          <w:rFonts w:ascii="宋体" w:eastAsia="宋体" w:hAnsi="宋体" w:cs="宋体" w:hint="eastAsia"/>
          <w:b/>
          <w:bCs/>
          <w:szCs w:val="21"/>
        </w:rPr>
        <w:t>1、应收账款</w:t>
      </w:r>
      <w:bookmarkEnd w:id="181"/>
    </w:p>
    <w:p w:rsidR="00403CD6" w:rsidRDefault="00E91A59">
      <w:pPr>
        <w:keepNext/>
        <w:keepLines/>
        <w:spacing w:before="300" w:after="300" w:line="280" w:lineRule="exact"/>
        <w:outlineLvl w:val="3"/>
        <w:rPr>
          <w:rFonts w:ascii="宋体" w:eastAsia="宋体" w:hAnsi="宋体" w:cs="宋体"/>
          <w:b/>
          <w:bCs/>
          <w:szCs w:val="21"/>
        </w:rPr>
      </w:pPr>
      <w:bookmarkStart w:id="182" w:name="_Toc989537"/>
      <w:r>
        <w:rPr>
          <w:rFonts w:ascii="宋体" w:eastAsia="宋体" w:hAnsi="宋体" w:cs="宋体" w:hint="eastAsia"/>
          <w:b/>
          <w:bCs/>
          <w:szCs w:val="21"/>
        </w:rPr>
        <w:t xml:space="preserve">（1） </w:t>
      </w:r>
      <w:proofErr w:type="gramStart"/>
      <w:r>
        <w:rPr>
          <w:rFonts w:ascii="宋体" w:eastAsia="宋体" w:hAnsi="宋体" w:cs="宋体" w:hint="eastAsia"/>
          <w:b/>
          <w:bCs/>
          <w:szCs w:val="21"/>
        </w:rPr>
        <w:t>按账龄</w:t>
      </w:r>
      <w:proofErr w:type="gramEnd"/>
      <w:r>
        <w:rPr>
          <w:rFonts w:ascii="宋体" w:eastAsia="宋体" w:hAnsi="宋体" w:cs="宋体" w:hint="eastAsia"/>
          <w:b/>
          <w:bCs/>
          <w:szCs w:val="21"/>
        </w:rPr>
        <w:t>披露</w:t>
      </w:r>
      <w:bookmarkEnd w:id="182"/>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账龄</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期末账面余额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期初账面余额</w:t>
            </w:r>
          </w:p>
        </w:tc>
      </w:tr>
      <w:tr w:rsidR="00403CD6">
        <w:trPr>
          <w:trHeight w:val="284"/>
        </w:trPr>
        <w:tc>
          <w:tcPr>
            <w:tcW w:w="1667" w:type="pct"/>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1</w:t>
            </w:r>
            <w:r>
              <w:rPr>
                <w:rFonts w:ascii="Times New Roman" w:hAnsi="Times New Roman" w:cs="Times New Roman"/>
                <w:kern w:val="0"/>
                <w:sz w:val="18"/>
                <w:szCs w:val="18"/>
              </w:rPr>
              <w:t>年以内</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240,828,735.48</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18,345,187.32 </w:t>
            </w:r>
          </w:p>
        </w:tc>
      </w:tr>
      <w:tr w:rsidR="00403CD6">
        <w:trPr>
          <w:trHeight w:val="284"/>
        </w:trPr>
        <w:tc>
          <w:tcPr>
            <w:tcW w:w="1667" w:type="pct"/>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1</w:t>
            </w:r>
            <w:r>
              <w:rPr>
                <w:rFonts w:ascii="Times New Roman" w:hAnsi="Times New Roman" w:cs="Times New Roman"/>
                <w:kern w:val="0"/>
                <w:sz w:val="18"/>
                <w:szCs w:val="18"/>
              </w:rPr>
              <w:t>至</w:t>
            </w:r>
            <w:r>
              <w:rPr>
                <w:rFonts w:ascii="Times New Roman" w:hAnsi="Times New Roman" w:cs="Times New Roman"/>
                <w:kern w:val="0"/>
                <w:sz w:val="18"/>
                <w:szCs w:val="18"/>
              </w:rPr>
              <w:t>2</w:t>
            </w:r>
            <w:r>
              <w:rPr>
                <w:rFonts w:ascii="Times New Roman" w:hAnsi="Times New Roman" w:cs="Times New Roman"/>
                <w:kern w:val="0"/>
                <w:sz w:val="18"/>
                <w:szCs w:val="18"/>
              </w:rPr>
              <w:t>年</w:t>
            </w:r>
          </w:p>
        </w:tc>
        <w:tc>
          <w:tcPr>
            <w:tcW w:w="1667"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11,500,000.00 </w:t>
            </w:r>
          </w:p>
        </w:tc>
      </w:tr>
      <w:tr w:rsidR="00403CD6">
        <w:trPr>
          <w:trHeight w:val="284"/>
        </w:trPr>
        <w:tc>
          <w:tcPr>
            <w:tcW w:w="1667" w:type="pct"/>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2</w:t>
            </w:r>
            <w:r>
              <w:rPr>
                <w:rFonts w:ascii="Times New Roman" w:hAnsi="Times New Roman" w:cs="Times New Roman"/>
                <w:kern w:val="0"/>
                <w:sz w:val="18"/>
                <w:szCs w:val="18"/>
              </w:rPr>
              <w:t>至</w:t>
            </w:r>
            <w:r>
              <w:rPr>
                <w:rFonts w:ascii="Times New Roman" w:hAnsi="Times New Roman" w:cs="Times New Roman"/>
                <w:kern w:val="0"/>
                <w:sz w:val="18"/>
                <w:szCs w:val="18"/>
              </w:rPr>
              <w:t>3</w:t>
            </w:r>
            <w:r>
              <w:rPr>
                <w:rFonts w:ascii="Times New Roman" w:hAnsi="Times New Roman" w:cs="Times New Roman"/>
                <w:kern w:val="0"/>
                <w:sz w:val="18"/>
                <w:szCs w:val="18"/>
              </w:rPr>
              <w:t>年</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1,500,000.00</w:t>
            </w:r>
          </w:p>
        </w:tc>
        <w:tc>
          <w:tcPr>
            <w:tcW w:w="166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667" w:type="pct"/>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3</w:t>
            </w:r>
            <w:r>
              <w:rPr>
                <w:rFonts w:ascii="Times New Roman" w:hAnsi="Times New Roman" w:cs="Times New Roman"/>
                <w:kern w:val="0"/>
                <w:sz w:val="18"/>
                <w:szCs w:val="18"/>
              </w:rPr>
              <w:t>年以上</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3,002,821.17</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3,002,821.17 </w:t>
            </w:r>
          </w:p>
        </w:tc>
      </w:tr>
      <w:tr w:rsidR="00403CD6">
        <w:trPr>
          <w:trHeight w:val="284"/>
        </w:trPr>
        <w:tc>
          <w:tcPr>
            <w:tcW w:w="1667" w:type="pct"/>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小计</w:t>
            </w:r>
          </w:p>
        </w:tc>
        <w:tc>
          <w:tcPr>
            <w:tcW w:w="1667" w:type="pct"/>
            <w:shd w:val="clear" w:color="auto" w:fill="auto"/>
            <w:vAlign w:val="center"/>
          </w:tcPr>
          <w:p w:rsidR="00403CD6" w:rsidRDefault="00E91A59">
            <w:pPr>
              <w:widowControl/>
              <w:jc w:val="right"/>
              <w:textAlignment w:val="center"/>
              <w:rPr>
                <w:rFonts w:ascii="Times New Roman" w:hAnsi="Times New Roman" w:cs="Times New Roman"/>
                <w:color w:val="000000"/>
                <w:sz w:val="18"/>
                <w:szCs w:val="18"/>
              </w:rPr>
            </w:pPr>
            <w:r>
              <w:rPr>
                <w:rFonts w:ascii="Times New Roman" w:hAnsi="Times New Roman" w:cs="Times New Roman"/>
                <w:kern w:val="0"/>
                <w:sz w:val="18"/>
                <w:szCs w:val="18"/>
              </w:rPr>
              <w:t xml:space="preserve">245,331,556.65 </w:t>
            </w:r>
            <w:r>
              <w:rPr>
                <w:rFonts w:ascii="Times New Roman" w:hAnsi="Times New Roman" w:cs="Times New Roman"/>
                <w:color w:val="000000"/>
                <w:kern w:val="0"/>
                <w:sz w:val="18"/>
                <w:szCs w:val="18"/>
                <w:lang w:bidi="ar"/>
              </w:rPr>
              <w:t xml:space="preserve"> </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32,848,008.49 </w:t>
            </w:r>
          </w:p>
        </w:tc>
      </w:tr>
      <w:tr w:rsidR="00403CD6">
        <w:trPr>
          <w:trHeight w:val="284"/>
        </w:trPr>
        <w:tc>
          <w:tcPr>
            <w:tcW w:w="1667" w:type="pct"/>
            <w:tcBorders>
              <w:bottom w:val="single" w:sz="4" w:space="0" w:color="auto"/>
            </w:tcBorders>
            <w:shd w:val="clear" w:color="auto" w:fill="auto"/>
            <w:vAlign w:val="center"/>
          </w:tcPr>
          <w:p w:rsidR="00403CD6" w:rsidRDefault="00E91A59">
            <w:pPr>
              <w:snapToGrid w:val="0"/>
              <w:outlineLvl w:val="1"/>
              <w:rPr>
                <w:rFonts w:ascii="Times New Roman" w:hAnsi="Times New Roman" w:cs="Times New Roman"/>
                <w:kern w:val="0"/>
                <w:sz w:val="18"/>
                <w:szCs w:val="18"/>
              </w:rPr>
            </w:pPr>
            <w:r>
              <w:rPr>
                <w:rFonts w:ascii="Times New Roman" w:hAnsi="Times New Roman" w:cs="Times New Roman"/>
                <w:kern w:val="0"/>
                <w:sz w:val="18"/>
                <w:szCs w:val="18"/>
              </w:rPr>
              <w:t>减：坏账准备</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4,543,616.41</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4,631,237.48 </w:t>
            </w:r>
          </w:p>
        </w:tc>
      </w:tr>
      <w:tr w:rsidR="00403CD6">
        <w:trPr>
          <w:trHeight w:val="284"/>
        </w:trPr>
        <w:tc>
          <w:tcPr>
            <w:tcW w:w="1667" w:type="pct"/>
            <w:shd w:val="clear" w:color="auto" w:fill="D9D9D9" w:themeFill="background1" w:themeFillShade="D9"/>
            <w:vAlign w:val="center"/>
          </w:tcPr>
          <w:p w:rsidR="00403CD6" w:rsidRDefault="00E91A59">
            <w:pPr>
              <w:snapToGrid w:val="0"/>
              <w:jc w:val="center"/>
              <w:outlineLvl w:val="1"/>
              <w:rPr>
                <w:rFonts w:ascii="Times New Roman" w:hAnsi="Times New Roman" w:cs="Times New Roman"/>
                <w:kern w:val="0"/>
                <w:sz w:val="18"/>
                <w:szCs w:val="18"/>
              </w:rPr>
            </w:pPr>
            <w:r>
              <w:rPr>
                <w:rFonts w:ascii="Times New Roman" w:hAnsi="Times New Roman" w:cs="Times New Roman"/>
                <w:kern w:val="0"/>
                <w:sz w:val="18"/>
                <w:szCs w:val="18"/>
              </w:rPr>
              <w:t>合计</w:t>
            </w:r>
          </w:p>
        </w:tc>
        <w:tc>
          <w:tcPr>
            <w:tcW w:w="16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240,787,940.24</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28,216,771.01</w:t>
            </w:r>
          </w:p>
        </w:tc>
      </w:tr>
    </w:tbl>
    <w:p w:rsidR="00403CD6" w:rsidRDefault="00E91A59">
      <w:pPr>
        <w:keepNext/>
        <w:keepLines/>
        <w:spacing w:before="300" w:after="300" w:line="280" w:lineRule="exact"/>
        <w:outlineLvl w:val="3"/>
        <w:rPr>
          <w:rFonts w:ascii="宋体" w:eastAsia="宋体" w:hAnsi="宋体" w:cs="宋体"/>
          <w:b/>
          <w:bCs/>
          <w:szCs w:val="21"/>
        </w:rPr>
      </w:pPr>
      <w:bookmarkStart w:id="183" w:name="_Toc989538"/>
      <w:r>
        <w:rPr>
          <w:rFonts w:ascii="宋体" w:eastAsia="宋体" w:hAnsi="宋体" w:cs="宋体" w:hint="eastAsia"/>
          <w:b/>
          <w:bCs/>
          <w:szCs w:val="21"/>
        </w:rPr>
        <w:t>（2） 按坏账计提方法分类披露</w:t>
      </w:r>
      <w:bookmarkEnd w:id="183"/>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011"/>
        <w:gridCol w:w="935"/>
        <w:gridCol w:w="701"/>
        <w:gridCol w:w="811"/>
        <w:gridCol w:w="776"/>
        <w:gridCol w:w="960"/>
        <w:gridCol w:w="1314"/>
        <w:gridCol w:w="1119"/>
        <w:gridCol w:w="686"/>
        <w:gridCol w:w="690"/>
        <w:gridCol w:w="690"/>
      </w:tblGrid>
      <w:tr w:rsidR="00403CD6">
        <w:trPr>
          <w:trHeight w:val="284"/>
        </w:trPr>
        <w:tc>
          <w:tcPr>
            <w:tcW w:w="521"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类别</w:t>
            </w:r>
          </w:p>
        </w:tc>
        <w:tc>
          <w:tcPr>
            <w:tcW w:w="2156" w:type="pct"/>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321" w:type="pct"/>
            <w:gridSpan w:val="5"/>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521" w:type="pct"/>
            <w:vMerge/>
            <w:vAlign w:val="center"/>
          </w:tcPr>
          <w:p w:rsidR="00403CD6" w:rsidRDefault="00403CD6">
            <w:pPr>
              <w:widowControl/>
              <w:rPr>
                <w:rFonts w:ascii="Times New Roman" w:eastAsia="宋体" w:hAnsi="Times New Roman" w:cs="Times New Roman"/>
                <w:sz w:val="18"/>
                <w:szCs w:val="18"/>
              </w:rPr>
            </w:pPr>
          </w:p>
        </w:tc>
        <w:tc>
          <w:tcPr>
            <w:tcW w:w="843"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818"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49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1255"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710"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坏账准备</w:t>
            </w:r>
          </w:p>
        </w:tc>
        <w:tc>
          <w:tcPr>
            <w:tcW w:w="355"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521" w:type="pct"/>
            <w:vMerge/>
            <w:vAlign w:val="center"/>
          </w:tcPr>
          <w:p w:rsidR="00403CD6" w:rsidRDefault="00403CD6">
            <w:pPr>
              <w:widowControl/>
              <w:rPr>
                <w:rFonts w:ascii="Times New Roman" w:eastAsia="宋体" w:hAnsi="Times New Roman" w:cs="Times New Roman"/>
                <w:sz w:val="18"/>
                <w:szCs w:val="18"/>
              </w:rPr>
            </w:pPr>
          </w:p>
        </w:tc>
        <w:tc>
          <w:tcPr>
            <w:tcW w:w="48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36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41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3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494" w:type="pct"/>
            <w:vMerge/>
            <w:vAlign w:val="center"/>
          </w:tcPr>
          <w:p w:rsidR="00403CD6" w:rsidRDefault="00403CD6">
            <w:pPr>
              <w:widowControl/>
              <w:rPr>
                <w:rFonts w:ascii="Times New Roman" w:eastAsia="宋体" w:hAnsi="Times New Roman" w:cs="Times New Roman"/>
                <w:sz w:val="18"/>
                <w:szCs w:val="18"/>
              </w:rPr>
            </w:pPr>
          </w:p>
        </w:tc>
        <w:tc>
          <w:tcPr>
            <w:tcW w:w="67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57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比例（</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35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35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计提比例（</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355"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52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按单项计提坏账准备</w:t>
            </w:r>
          </w:p>
        </w:tc>
        <w:tc>
          <w:tcPr>
            <w:tcW w:w="482" w:type="pct"/>
            <w:shd w:val="clear" w:color="auto" w:fill="auto"/>
            <w:vAlign w:val="center"/>
          </w:tcPr>
          <w:p w:rsidR="00403CD6" w:rsidRDefault="00403CD6">
            <w:pPr>
              <w:jc w:val="right"/>
              <w:rPr>
                <w:rFonts w:ascii="Times New Roman" w:hAnsi="Times New Roman" w:cs="Times New Roman"/>
                <w:sz w:val="18"/>
                <w:szCs w:val="18"/>
              </w:rPr>
            </w:pPr>
          </w:p>
        </w:tc>
        <w:tc>
          <w:tcPr>
            <w:tcW w:w="361" w:type="pct"/>
            <w:shd w:val="clear" w:color="auto" w:fill="auto"/>
            <w:vAlign w:val="center"/>
          </w:tcPr>
          <w:p w:rsidR="00403CD6" w:rsidRDefault="00E91A59">
            <w:pPr>
              <w:wordWrap w:val="0"/>
              <w:ind w:right="105"/>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41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w:t>
            </w:r>
          </w:p>
        </w:tc>
        <w:tc>
          <w:tcPr>
            <w:tcW w:w="399" w:type="pct"/>
            <w:shd w:val="clear" w:color="auto" w:fill="auto"/>
            <w:vAlign w:val="center"/>
          </w:tcPr>
          <w:p w:rsidR="00403CD6" w:rsidRDefault="00403CD6">
            <w:pPr>
              <w:jc w:val="right"/>
              <w:rPr>
                <w:rFonts w:ascii="Times New Roman" w:hAnsi="Times New Roman" w:cs="Times New Roman"/>
                <w:sz w:val="18"/>
                <w:szCs w:val="18"/>
              </w:rPr>
            </w:pPr>
          </w:p>
        </w:tc>
        <w:tc>
          <w:tcPr>
            <w:tcW w:w="494" w:type="pct"/>
            <w:shd w:val="clear" w:color="auto" w:fill="auto"/>
            <w:vAlign w:val="center"/>
          </w:tcPr>
          <w:p w:rsidR="00403CD6" w:rsidRDefault="00403CD6">
            <w:pPr>
              <w:jc w:val="right"/>
              <w:rPr>
                <w:rFonts w:ascii="Times New Roman" w:hAnsi="Times New Roman" w:cs="Times New Roman"/>
                <w:sz w:val="18"/>
                <w:szCs w:val="18"/>
              </w:rPr>
            </w:pPr>
          </w:p>
        </w:tc>
        <w:tc>
          <w:tcPr>
            <w:tcW w:w="678" w:type="pct"/>
            <w:vAlign w:val="center"/>
          </w:tcPr>
          <w:p w:rsidR="00403CD6" w:rsidRDefault="00403CD6">
            <w:pPr>
              <w:spacing w:line="240" w:lineRule="exact"/>
              <w:jc w:val="right"/>
              <w:rPr>
                <w:rFonts w:ascii="Times New Roman" w:hAnsi="Times New Roman" w:cs="Times New Roman"/>
                <w:sz w:val="18"/>
                <w:szCs w:val="18"/>
              </w:rPr>
            </w:pPr>
          </w:p>
        </w:tc>
        <w:tc>
          <w:tcPr>
            <w:tcW w:w="576" w:type="pct"/>
            <w:vAlign w:val="center"/>
          </w:tcPr>
          <w:p w:rsidR="00403CD6" w:rsidRDefault="00403CD6">
            <w:pPr>
              <w:spacing w:line="240" w:lineRule="exact"/>
              <w:jc w:val="right"/>
              <w:rPr>
                <w:rFonts w:ascii="Times New Roman" w:hAnsi="Times New Roman" w:cs="Times New Roman"/>
                <w:sz w:val="18"/>
                <w:szCs w:val="18"/>
              </w:rPr>
            </w:pPr>
          </w:p>
        </w:tc>
        <w:tc>
          <w:tcPr>
            <w:tcW w:w="354" w:type="pct"/>
            <w:vAlign w:val="center"/>
          </w:tcPr>
          <w:p w:rsidR="00403CD6" w:rsidRDefault="00403CD6">
            <w:pPr>
              <w:spacing w:line="240" w:lineRule="exact"/>
              <w:jc w:val="right"/>
              <w:rPr>
                <w:rFonts w:ascii="Times New Roman" w:hAnsi="Times New Roman" w:cs="Times New Roman"/>
                <w:sz w:val="18"/>
                <w:szCs w:val="18"/>
              </w:rPr>
            </w:pPr>
          </w:p>
        </w:tc>
        <w:tc>
          <w:tcPr>
            <w:tcW w:w="356" w:type="pct"/>
            <w:vAlign w:val="center"/>
          </w:tcPr>
          <w:p w:rsidR="00403CD6" w:rsidRDefault="00403CD6">
            <w:pPr>
              <w:spacing w:line="240" w:lineRule="exact"/>
              <w:jc w:val="right"/>
              <w:rPr>
                <w:rFonts w:ascii="Times New Roman" w:hAnsi="Times New Roman" w:cs="Times New Roman"/>
                <w:sz w:val="18"/>
                <w:szCs w:val="18"/>
              </w:rPr>
            </w:pPr>
          </w:p>
        </w:tc>
        <w:tc>
          <w:tcPr>
            <w:tcW w:w="355"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52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按组合计提坏账准备</w:t>
            </w:r>
          </w:p>
        </w:tc>
        <w:tc>
          <w:tcPr>
            <w:tcW w:w="48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245,331,556.65</w:t>
            </w:r>
          </w:p>
        </w:tc>
        <w:tc>
          <w:tcPr>
            <w:tcW w:w="36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1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4,543,616.41</w:t>
            </w:r>
          </w:p>
        </w:tc>
        <w:tc>
          <w:tcPr>
            <w:tcW w:w="39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1.85</w:t>
            </w:r>
          </w:p>
        </w:tc>
        <w:tc>
          <w:tcPr>
            <w:tcW w:w="49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240,787,940.24</w:t>
            </w:r>
          </w:p>
        </w:tc>
        <w:tc>
          <w:tcPr>
            <w:tcW w:w="6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32,848,008.49</w:t>
            </w:r>
          </w:p>
        </w:tc>
        <w:tc>
          <w:tcPr>
            <w:tcW w:w="57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4,631,237.48</w:t>
            </w:r>
          </w:p>
        </w:tc>
        <w:tc>
          <w:tcPr>
            <w:tcW w:w="35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14.10</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28,216,771.01</w:t>
            </w:r>
          </w:p>
        </w:tc>
      </w:tr>
      <w:tr w:rsidR="00403CD6">
        <w:trPr>
          <w:trHeight w:val="284"/>
        </w:trPr>
        <w:tc>
          <w:tcPr>
            <w:tcW w:w="52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其中：</w:t>
            </w:r>
          </w:p>
        </w:tc>
        <w:tc>
          <w:tcPr>
            <w:tcW w:w="482" w:type="pct"/>
            <w:shd w:val="clear" w:color="auto" w:fill="auto"/>
            <w:vAlign w:val="center"/>
          </w:tcPr>
          <w:p w:rsidR="00403CD6" w:rsidRDefault="00403CD6">
            <w:pPr>
              <w:jc w:val="right"/>
              <w:rPr>
                <w:rFonts w:ascii="Times New Roman" w:hAnsi="Times New Roman" w:cs="Times New Roman"/>
                <w:sz w:val="18"/>
                <w:szCs w:val="18"/>
              </w:rPr>
            </w:pPr>
          </w:p>
        </w:tc>
        <w:tc>
          <w:tcPr>
            <w:tcW w:w="361" w:type="pct"/>
            <w:shd w:val="clear" w:color="auto" w:fill="auto"/>
            <w:vAlign w:val="center"/>
          </w:tcPr>
          <w:p w:rsidR="00403CD6" w:rsidRDefault="00403CD6">
            <w:pPr>
              <w:jc w:val="right"/>
              <w:rPr>
                <w:rFonts w:ascii="Times New Roman" w:hAnsi="Times New Roman" w:cs="Times New Roman"/>
                <w:sz w:val="18"/>
                <w:szCs w:val="18"/>
              </w:rPr>
            </w:pPr>
          </w:p>
        </w:tc>
        <w:tc>
          <w:tcPr>
            <w:tcW w:w="418" w:type="pct"/>
            <w:shd w:val="clear" w:color="auto" w:fill="auto"/>
            <w:vAlign w:val="center"/>
          </w:tcPr>
          <w:p w:rsidR="00403CD6" w:rsidRDefault="00403CD6">
            <w:pPr>
              <w:jc w:val="right"/>
              <w:rPr>
                <w:rFonts w:ascii="Times New Roman" w:hAnsi="Times New Roman" w:cs="Times New Roman"/>
                <w:sz w:val="18"/>
                <w:szCs w:val="18"/>
              </w:rPr>
            </w:pPr>
          </w:p>
        </w:tc>
        <w:tc>
          <w:tcPr>
            <w:tcW w:w="399" w:type="pct"/>
            <w:shd w:val="clear" w:color="auto" w:fill="auto"/>
            <w:vAlign w:val="center"/>
          </w:tcPr>
          <w:p w:rsidR="00403CD6" w:rsidRDefault="00403CD6">
            <w:pPr>
              <w:jc w:val="right"/>
              <w:rPr>
                <w:rFonts w:ascii="Times New Roman" w:hAnsi="Times New Roman" w:cs="Times New Roman"/>
                <w:sz w:val="18"/>
                <w:szCs w:val="18"/>
              </w:rPr>
            </w:pPr>
          </w:p>
        </w:tc>
        <w:tc>
          <w:tcPr>
            <w:tcW w:w="494" w:type="pct"/>
            <w:shd w:val="clear" w:color="auto" w:fill="auto"/>
            <w:vAlign w:val="center"/>
          </w:tcPr>
          <w:p w:rsidR="00403CD6" w:rsidRDefault="00403CD6">
            <w:pPr>
              <w:jc w:val="right"/>
              <w:rPr>
                <w:rFonts w:ascii="Times New Roman" w:hAnsi="Times New Roman" w:cs="Times New Roman"/>
                <w:sz w:val="18"/>
                <w:szCs w:val="18"/>
              </w:rPr>
            </w:pPr>
          </w:p>
        </w:tc>
        <w:tc>
          <w:tcPr>
            <w:tcW w:w="678" w:type="pct"/>
            <w:shd w:val="clear" w:color="auto" w:fill="auto"/>
            <w:vAlign w:val="center"/>
          </w:tcPr>
          <w:p w:rsidR="00403CD6" w:rsidRDefault="00403CD6">
            <w:pPr>
              <w:jc w:val="right"/>
              <w:rPr>
                <w:rFonts w:ascii="Times New Roman" w:hAnsi="Times New Roman" w:cs="Times New Roman"/>
                <w:sz w:val="18"/>
                <w:szCs w:val="18"/>
              </w:rPr>
            </w:pPr>
          </w:p>
        </w:tc>
        <w:tc>
          <w:tcPr>
            <w:tcW w:w="576" w:type="pct"/>
            <w:shd w:val="clear" w:color="auto" w:fill="auto"/>
            <w:vAlign w:val="center"/>
          </w:tcPr>
          <w:p w:rsidR="00403CD6" w:rsidRDefault="00403CD6">
            <w:pPr>
              <w:jc w:val="right"/>
              <w:rPr>
                <w:rFonts w:ascii="Times New Roman" w:hAnsi="Times New Roman" w:cs="Times New Roman"/>
                <w:sz w:val="18"/>
                <w:szCs w:val="18"/>
              </w:rPr>
            </w:pPr>
          </w:p>
        </w:tc>
        <w:tc>
          <w:tcPr>
            <w:tcW w:w="354" w:type="pct"/>
            <w:shd w:val="clear" w:color="auto" w:fill="auto"/>
            <w:vAlign w:val="center"/>
          </w:tcPr>
          <w:p w:rsidR="00403CD6" w:rsidRDefault="00403CD6">
            <w:pPr>
              <w:jc w:val="right"/>
              <w:rPr>
                <w:rFonts w:ascii="Times New Roman" w:hAnsi="Times New Roman" w:cs="Times New Roman"/>
                <w:sz w:val="18"/>
                <w:szCs w:val="18"/>
              </w:rPr>
            </w:pPr>
          </w:p>
        </w:tc>
        <w:tc>
          <w:tcPr>
            <w:tcW w:w="35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521"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应收关联方</w:t>
            </w:r>
          </w:p>
        </w:tc>
        <w:tc>
          <w:tcPr>
            <w:tcW w:w="48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225,768,022.18</w:t>
            </w:r>
          </w:p>
        </w:tc>
        <w:tc>
          <w:tcPr>
            <w:tcW w:w="36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92.03</w:t>
            </w:r>
          </w:p>
        </w:tc>
        <w:tc>
          <w:tcPr>
            <w:tcW w:w="418" w:type="pct"/>
            <w:shd w:val="clear" w:color="auto" w:fill="auto"/>
            <w:vAlign w:val="center"/>
          </w:tcPr>
          <w:p w:rsidR="00403CD6" w:rsidRDefault="00E91A59">
            <w:pPr>
              <w:widowControl/>
              <w:jc w:val="right"/>
              <w:textAlignment w:val="center"/>
              <w:rPr>
                <w:rFonts w:ascii="Times New Roman" w:hAnsi="Times New Roman" w:cs="Times New Roman"/>
                <w:sz w:val="18"/>
                <w:szCs w:val="18"/>
              </w:rPr>
            </w:pPr>
            <w:r>
              <w:rPr>
                <w:rFonts w:ascii="Times New Roman" w:hAnsi="Times New Roman" w:cs="Times New Roman"/>
                <w:sz w:val="18"/>
                <w:szCs w:val="18"/>
              </w:rPr>
              <w:t>5,370.25</w:t>
            </w:r>
          </w:p>
        </w:tc>
        <w:tc>
          <w:tcPr>
            <w:tcW w:w="399" w:type="pct"/>
            <w:shd w:val="clear" w:color="auto" w:fill="auto"/>
            <w:vAlign w:val="center"/>
          </w:tcPr>
          <w:p w:rsidR="00403CD6" w:rsidRDefault="00403CD6">
            <w:pPr>
              <w:jc w:val="right"/>
              <w:rPr>
                <w:rFonts w:ascii="Times New Roman" w:hAnsi="Times New Roman" w:cs="Times New Roman"/>
                <w:sz w:val="18"/>
                <w:szCs w:val="18"/>
              </w:rPr>
            </w:pPr>
          </w:p>
        </w:tc>
        <w:tc>
          <w:tcPr>
            <w:tcW w:w="494" w:type="pct"/>
            <w:shd w:val="clear" w:color="auto" w:fill="auto"/>
            <w:vAlign w:val="center"/>
          </w:tcPr>
          <w:p w:rsidR="00403CD6" w:rsidRDefault="00E91A59">
            <w:pPr>
              <w:widowControl/>
              <w:jc w:val="right"/>
              <w:textAlignment w:val="center"/>
              <w:rPr>
                <w:rFonts w:ascii="Times New Roman" w:hAnsi="Times New Roman" w:cs="Times New Roman"/>
                <w:sz w:val="18"/>
                <w:szCs w:val="18"/>
              </w:rPr>
            </w:pPr>
            <w:r>
              <w:rPr>
                <w:rFonts w:ascii="Times New Roman" w:hAnsi="Times New Roman" w:cs="Times New Roman"/>
                <w:sz w:val="18"/>
                <w:szCs w:val="18"/>
              </w:rPr>
              <w:t>225,762,651.93</w:t>
            </w:r>
          </w:p>
        </w:tc>
        <w:tc>
          <w:tcPr>
            <w:tcW w:w="6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10,453,076.75</w:t>
            </w:r>
          </w:p>
        </w:tc>
        <w:tc>
          <w:tcPr>
            <w:tcW w:w="57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31.82</w:t>
            </w:r>
          </w:p>
        </w:tc>
        <w:tc>
          <w:tcPr>
            <w:tcW w:w="354" w:type="pct"/>
            <w:shd w:val="clear" w:color="auto" w:fill="auto"/>
            <w:vAlign w:val="center"/>
          </w:tcPr>
          <w:p w:rsidR="00403CD6" w:rsidRDefault="00403CD6">
            <w:pPr>
              <w:jc w:val="right"/>
              <w:rPr>
                <w:rFonts w:ascii="Times New Roman" w:hAnsi="Times New Roman" w:cs="Times New Roman"/>
                <w:sz w:val="18"/>
                <w:szCs w:val="18"/>
              </w:rPr>
            </w:pPr>
          </w:p>
        </w:tc>
        <w:tc>
          <w:tcPr>
            <w:tcW w:w="356" w:type="pct"/>
            <w:shd w:val="clear" w:color="auto" w:fill="auto"/>
            <w:vAlign w:val="center"/>
          </w:tcPr>
          <w:p w:rsidR="00403CD6" w:rsidRDefault="00403CD6">
            <w:pPr>
              <w:jc w:val="right"/>
              <w:rPr>
                <w:rFonts w:ascii="Times New Roman" w:hAnsi="Times New Roman" w:cs="Times New Roman"/>
                <w:sz w:val="18"/>
                <w:szCs w:val="18"/>
              </w:rPr>
            </w:pP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10,453,076.75</w:t>
            </w:r>
          </w:p>
        </w:tc>
      </w:tr>
      <w:tr w:rsidR="00403CD6">
        <w:trPr>
          <w:trHeight w:val="284"/>
        </w:trPr>
        <w:tc>
          <w:tcPr>
            <w:tcW w:w="521"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proofErr w:type="gramStart"/>
            <w:r>
              <w:rPr>
                <w:rFonts w:ascii="Times New Roman" w:hAnsi="Times New Roman" w:cs="Times New Roman"/>
                <w:sz w:val="18"/>
                <w:szCs w:val="18"/>
              </w:rPr>
              <w:t>应收非</w:t>
            </w:r>
            <w:proofErr w:type="gramEnd"/>
            <w:r>
              <w:rPr>
                <w:rFonts w:ascii="Times New Roman" w:hAnsi="Times New Roman" w:cs="Times New Roman"/>
                <w:sz w:val="18"/>
                <w:szCs w:val="18"/>
              </w:rPr>
              <w:t>关联方</w:t>
            </w:r>
          </w:p>
        </w:tc>
        <w:tc>
          <w:tcPr>
            <w:tcW w:w="48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19,563,534.47   </w:t>
            </w:r>
          </w:p>
        </w:tc>
        <w:tc>
          <w:tcPr>
            <w:tcW w:w="36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7.97</w:t>
            </w:r>
          </w:p>
        </w:tc>
        <w:tc>
          <w:tcPr>
            <w:tcW w:w="418" w:type="pct"/>
            <w:shd w:val="clear" w:color="auto" w:fill="auto"/>
            <w:vAlign w:val="center"/>
          </w:tcPr>
          <w:p w:rsidR="00403CD6" w:rsidRDefault="00E91A59">
            <w:pPr>
              <w:widowControl/>
              <w:jc w:val="right"/>
              <w:textAlignment w:val="center"/>
              <w:rPr>
                <w:rFonts w:ascii="Times New Roman" w:hAnsi="Times New Roman" w:cs="Times New Roman"/>
                <w:sz w:val="18"/>
                <w:szCs w:val="18"/>
              </w:rPr>
            </w:pPr>
            <w:r>
              <w:rPr>
                <w:rFonts w:ascii="Times New Roman" w:hAnsi="Times New Roman" w:cs="Times New Roman"/>
                <w:sz w:val="18"/>
                <w:szCs w:val="18"/>
              </w:rPr>
              <w:t>4,538,246.16</w:t>
            </w:r>
          </w:p>
        </w:tc>
        <w:tc>
          <w:tcPr>
            <w:tcW w:w="39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hint="eastAsia"/>
                <w:sz w:val="18"/>
                <w:szCs w:val="18"/>
              </w:rPr>
              <w:t>23.20</w:t>
            </w:r>
          </w:p>
        </w:tc>
        <w:tc>
          <w:tcPr>
            <w:tcW w:w="494" w:type="pct"/>
            <w:shd w:val="clear" w:color="auto" w:fill="auto"/>
            <w:vAlign w:val="center"/>
          </w:tcPr>
          <w:p w:rsidR="00403CD6" w:rsidRDefault="00E91A59">
            <w:pPr>
              <w:widowControl/>
              <w:jc w:val="right"/>
              <w:textAlignment w:val="center"/>
              <w:rPr>
                <w:rFonts w:ascii="Times New Roman" w:hAnsi="Times New Roman" w:cs="Times New Roman"/>
                <w:sz w:val="18"/>
                <w:szCs w:val="18"/>
              </w:rPr>
            </w:pPr>
            <w:r>
              <w:rPr>
                <w:rFonts w:ascii="Times New Roman" w:hAnsi="Times New Roman" w:cs="Times New Roman"/>
                <w:sz w:val="18"/>
                <w:szCs w:val="18"/>
              </w:rPr>
              <w:t>15,025,288.31</w:t>
            </w:r>
          </w:p>
        </w:tc>
        <w:tc>
          <w:tcPr>
            <w:tcW w:w="6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22,394,931.74</w:t>
            </w:r>
          </w:p>
        </w:tc>
        <w:tc>
          <w:tcPr>
            <w:tcW w:w="57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68.18</w:t>
            </w: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4,631,237.48</w:t>
            </w:r>
          </w:p>
        </w:tc>
        <w:tc>
          <w:tcPr>
            <w:tcW w:w="35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20.68</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17,763,694.26</w:t>
            </w:r>
          </w:p>
        </w:tc>
      </w:tr>
      <w:tr w:rsidR="00403CD6">
        <w:trPr>
          <w:trHeight w:val="284"/>
        </w:trPr>
        <w:tc>
          <w:tcPr>
            <w:tcW w:w="521"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color w:val="000000"/>
                <w:kern w:val="0"/>
                <w:sz w:val="18"/>
                <w:szCs w:val="18"/>
              </w:rPr>
            </w:pPr>
            <w:r>
              <w:rPr>
                <w:rFonts w:ascii="Times New Roman" w:hAnsi="Times New Roman" w:cs="Times New Roman"/>
                <w:color w:val="000000"/>
                <w:kern w:val="0"/>
                <w:sz w:val="18"/>
                <w:szCs w:val="18"/>
              </w:rPr>
              <w:t>合计</w:t>
            </w:r>
          </w:p>
        </w:tc>
        <w:tc>
          <w:tcPr>
            <w:tcW w:w="48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245,331,556.65  </w:t>
            </w:r>
          </w:p>
        </w:tc>
        <w:tc>
          <w:tcPr>
            <w:tcW w:w="36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41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4,543,616.41</w:t>
            </w:r>
          </w:p>
        </w:tc>
        <w:tc>
          <w:tcPr>
            <w:tcW w:w="39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1.85</w:t>
            </w:r>
          </w:p>
        </w:tc>
        <w:tc>
          <w:tcPr>
            <w:tcW w:w="49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240,787,940.24</w:t>
            </w:r>
          </w:p>
        </w:tc>
        <w:tc>
          <w:tcPr>
            <w:tcW w:w="6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32,848,008.49</w:t>
            </w:r>
          </w:p>
        </w:tc>
        <w:tc>
          <w:tcPr>
            <w:tcW w:w="57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w:t>
            </w: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4,631,237.48</w:t>
            </w:r>
          </w:p>
        </w:tc>
        <w:tc>
          <w:tcPr>
            <w:tcW w:w="356"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14.10</w:t>
            </w:r>
          </w:p>
        </w:tc>
        <w:tc>
          <w:tcPr>
            <w:tcW w:w="35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28,216,771.01</w:t>
            </w:r>
          </w:p>
        </w:tc>
      </w:tr>
    </w:tbl>
    <w:p w:rsidR="00403CD6" w:rsidRDefault="00E91A59">
      <w:pPr>
        <w:rPr>
          <w:rFonts w:ascii="Times New Roman" w:hAnsi="Times New Roman" w:cs="Times New Roman"/>
          <w:sz w:val="18"/>
          <w:szCs w:val="18"/>
        </w:rPr>
      </w:pPr>
      <w:r>
        <w:rPr>
          <w:rFonts w:ascii="Times New Roman" w:hAnsi="Times New Roman" w:cs="Times New Roman"/>
          <w:sz w:val="18"/>
          <w:szCs w:val="18"/>
        </w:rPr>
        <w:t>按组合计提坏账准备：应收关联方客户</w:t>
      </w:r>
    </w:p>
    <w:p w:rsidR="00403CD6" w:rsidRDefault="00E91A59">
      <w:pPr>
        <w:spacing w:line="240" w:lineRule="exact"/>
        <w:rPr>
          <w:rFonts w:ascii="宋体" w:eastAsia="宋体" w:hAnsi="宋体" w:cs="宋体"/>
          <w:sz w:val="18"/>
          <w:szCs w:val="18"/>
        </w:rPr>
      </w:pPr>
      <w:r>
        <w:tab/>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424"/>
        <w:gridCol w:w="2423"/>
        <w:gridCol w:w="2423"/>
        <w:gridCol w:w="2423"/>
      </w:tblGrid>
      <w:tr w:rsidR="00403CD6">
        <w:trPr>
          <w:trHeight w:val="284"/>
        </w:trPr>
        <w:tc>
          <w:tcPr>
            <w:tcW w:w="1250" w:type="pct"/>
            <w:vMerge w:val="restar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名称</w:t>
            </w:r>
          </w:p>
        </w:tc>
        <w:tc>
          <w:tcPr>
            <w:tcW w:w="3750" w:type="pct"/>
            <w:gridSpan w:val="3"/>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期末余额</w:t>
            </w:r>
          </w:p>
        </w:tc>
      </w:tr>
      <w:tr w:rsidR="00403CD6">
        <w:trPr>
          <w:trHeight w:val="284"/>
        </w:trPr>
        <w:tc>
          <w:tcPr>
            <w:tcW w:w="1250" w:type="pct"/>
            <w:vMerge/>
            <w:vAlign w:val="center"/>
          </w:tcPr>
          <w:p w:rsidR="00403CD6" w:rsidRDefault="00403CD6">
            <w:pPr>
              <w:jc w:val="center"/>
              <w:rPr>
                <w:rFonts w:ascii="Times New Roman" w:hAnsi="Times New Roman" w:cs="Times New Roman"/>
                <w:sz w:val="18"/>
                <w:szCs w:val="18"/>
              </w:rPr>
            </w:pPr>
          </w:p>
        </w:tc>
        <w:tc>
          <w:tcPr>
            <w:tcW w:w="1250"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账面余额</w:t>
            </w:r>
          </w:p>
        </w:tc>
        <w:tc>
          <w:tcPr>
            <w:tcW w:w="1250"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坏账准备</w:t>
            </w:r>
          </w:p>
        </w:tc>
        <w:tc>
          <w:tcPr>
            <w:tcW w:w="1250"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计提比例</w:t>
            </w:r>
          </w:p>
        </w:tc>
      </w:tr>
      <w:tr w:rsidR="00403CD6">
        <w:trPr>
          <w:trHeight w:val="284"/>
        </w:trPr>
        <w:tc>
          <w:tcPr>
            <w:tcW w:w="1250" w:type="pct"/>
            <w:shd w:val="clear" w:color="auto" w:fill="FFFFFF"/>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sz w:val="18"/>
                <w:szCs w:val="18"/>
              </w:rPr>
              <w:t>年以内</w:t>
            </w:r>
          </w:p>
        </w:tc>
        <w:tc>
          <w:tcPr>
            <w:tcW w:w="1250" w:type="pct"/>
            <w:shd w:val="clear" w:color="auto" w:fill="FFFFFF"/>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225,768,022.18</w:t>
            </w:r>
          </w:p>
        </w:tc>
        <w:tc>
          <w:tcPr>
            <w:tcW w:w="1250" w:type="pct"/>
            <w:shd w:val="clear" w:color="auto" w:fill="FFFFFF"/>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5,370.25</w:t>
            </w:r>
          </w:p>
        </w:tc>
        <w:tc>
          <w:tcPr>
            <w:tcW w:w="1250" w:type="pct"/>
            <w:shd w:val="clear" w:color="auto" w:fill="FFFFFF"/>
            <w:vAlign w:val="center"/>
          </w:tcPr>
          <w:p w:rsidR="00403CD6" w:rsidRDefault="00403CD6">
            <w:pPr>
              <w:jc w:val="right"/>
              <w:rPr>
                <w:rFonts w:ascii="Times New Roman" w:hAnsi="Times New Roman" w:cs="Times New Roman"/>
                <w:sz w:val="18"/>
                <w:szCs w:val="18"/>
              </w:rPr>
            </w:pPr>
          </w:p>
        </w:tc>
      </w:tr>
      <w:tr w:rsidR="00403CD6">
        <w:trPr>
          <w:trHeight w:val="284"/>
        </w:trPr>
        <w:tc>
          <w:tcPr>
            <w:tcW w:w="1250" w:type="pct"/>
            <w:shd w:val="clear" w:color="auto" w:fill="D3D3D3"/>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color w:val="000000"/>
                <w:kern w:val="0"/>
                <w:sz w:val="18"/>
                <w:szCs w:val="18"/>
              </w:rPr>
              <w:t>合计</w:t>
            </w:r>
          </w:p>
        </w:tc>
        <w:tc>
          <w:tcPr>
            <w:tcW w:w="1250" w:type="pct"/>
            <w:shd w:val="clear" w:color="auto" w:fill="FFFFFF"/>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225,768,022.18</w:t>
            </w:r>
          </w:p>
        </w:tc>
        <w:tc>
          <w:tcPr>
            <w:tcW w:w="1250" w:type="pct"/>
            <w:shd w:val="clear" w:color="auto" w:fill="FFFFFF"/>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5,370.25</w:t>
            </w:r>
          </w:p>
        </w:tc>
        <w:tc>
          <w:tcPr>
            <w:tcW w:w="1250" w:type="pct"/>
            <w:shd w:val="clear" w:color="auto" w:fill="D3D3D3"/>
            <w:vAlign w:val="center"/>
          </w:tcPr>
          <w:p w:rsidR="00403CD6" w:rsidRDefault="00403CD6">
            <w:pPr>
              <w:jc w:val="right"/>
              <w:rPr>
                <w:rFonts w:ascii="Times New Roman" w:hAnsi="Times New Roman" w:cs="Times New Roman"/>
                <w:sz w:val="18"/>
                <w:szCs w:val="18"/>
              </w:rPr>
            </w:pPr>
          </w:p>
        </w:tc>
      </w:tr>
    </w:tbl>
    <w:p w:rsidR="00403CD6" w:rsidRDefault="00E91A59">
      <w:pPr>
        <w:rPr>
          <w:rFonts w:ascii="Times New Roman" w:hAnsi="Times New Roman" w:cs="Times New Roman"/>
          <w:sz w:val="18"/>
          <w:szCs w:val="18"/>
        </w:rPr>
      </w:pPr>
      <w:r>
        <w:rPr>
          <w:rFonts w:ascii="Times New Roman" w:hAnsi="Times New Roman" w:cs="Times New Roman"/>
          <w:sz w:val="18"/>
          <w:szCs w:val="18"/>
        </w:rPr>
        <w:t>组合计提项目：</w:t>
      </w:r>
      <w:proofErr w:type="gramStart"/>
      <w:r>
        <w:rPr>
          <w:rFonts w:ascii="Times New Roman" w:hAnsi="Times New Roman" w:cs="Times New Roman" w:hint="eastAsia"/>
          <w:sz w:val="18"/>
          <w:szCs w:val="18"/>
        </w:rPr>
        <w:t>应收非</w:t>
      </w:r>
      <w:proofErr w:type="gramEnd"/>
      <w:r>
        <w:rPr>
          <w:rFonts w:ascii="Times New Roman" w:hAnsi="Times New Roman" w:cs="Times New Roman" w:hint="eastAsia"/>
          <w:sz w:val="18"/>
          <w:szCs w:val="18"/>
        </w:rPr>
        <w:t>关联方</w:t>
      </w:r>
    </w:p>
    <w:p w:rsidR="00403CD6" w:rsidRDefault="00E91A59">
      <w:pPr>
        <w:ind w:firstLineChars="4800" w:firstLine="8640"/>
        <w:rPr>
          <w:rFonts w:ascii="Times New Roman" w:hAnsi="Times New Roman" w:cs="Times New Roman"/>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422"/>
        <w:gridCol w:w="2421"/>
        <w:gridCol w:w="2421"/>
        <w:gridCol w:w="2429"/>
      </w:tblGrid>
      <w:tr w:rsidR="00403CD6">
        <w:trPr>
          <w:trHeight w:val="284"/>
        </w:trPr>
        <w:tc>
          <w:tcPr>
            <w:tcW w:w="1249" w:type="pct"/>
            <w:vMerge w:val="restar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lastRenderedPageBreak/>
              <w:t>名称</w:t>
            </w:r>
          </w:p>
        </w:tc>
        <w:tc>
          <w:tcPr>
            <w:tcW w:w="3751" w:type="pct"/>
            <w:gridSpan w:val="3"/>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期末余额</w:t>
            </w:r>
          </w:p>
        </w:tc>
      </w:tr>
      <w:tr w:rsidR="00403CD6">
        <w:trPr>
          <w:trHeight w:val="284"/>
        </w:trPr>
        <w:tc>
          <w:tcPr>
            <w:tcW w:w="1249" w:type="pct"/>
            <w:vMerge/>
            <w:vAlign w:val="center"/>
          </w:tcPr>
          <w:p w:rsidR="00403CD6" w:rsidRDefault="00403CD6">
            <w:pPr>
              <w:jc w:val="center"/>
              <w:rPr>
                <w:rFonts w:ascii="Times New Roman" w:hAnsi="Times New Roman" w:cs="Times New Roman"/>
                <w:sz w:val="18"/>
                <w:szCs w:val="18"/>
              </w:rPr>
            </w:pPr>
          </w:p>
        </w:tc>
        <w:tc>
          <w:tcPr>
            <w:tcW w:w="1249"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账面余额</w:t>
            </w:r>
          </w:p>
        </w:tc>
        <w:tc>
          <w:tcPr>
            <w:tcW w:w="1249"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坏账准备</w:t>
            </w:r>
          </w:p>
        </w:tc>
        <w:tc>
          <w:tcPr>
            <w:tcW w:w="1253"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计提比例（</w:t>
            </w:r>
            <w:r>
              <w:rPr>
                <w:rFonts w:ascii="Times New Roman" w:hAnsi="Times New Roman" w:cs="Times New Roman"/>
                <w:sz w:val="18"/>
                <w:szCs w:val="18"/>
              </w:rPr>
              <w:t>%</w:t>
            </w:r>
            <w:r>
              <w:rPr>
                <w:rFonts w:ascii="Times New Roman" w:hAnsi="Times New Roman" w:cs="Times New Roman"/>
                <w:sz w:val="18"/>
                <w:szCs w:val="18"/>
              </w:rPr>
              <w:t>）</w:t>
            </w:r>
          </w:p>
        </w:tc>
      </w:tr>
      <w:tr w:rsidR="00403CD6">
        <w:trPr>
          <w:trHeight w:val="284"/>
        </w:trPr>
        <w:tc>
          <w:tcPr>
            <w:tcW w:w="1249"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sz w:val="18"/>
                <w:szCs w:val="18"/>
              </w:rPr>
              <w:t>年以内</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15,060,713.30</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35,424.99</w:t>
            </w:r>
          </w:p>
        </w:tc>
        <w:tc>
          <w:tcPr>
            <w:tcW w:w="1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0.24</w:t>
            </w:r>
          </w:p>
        </w:tc>
      </w:tr>
      <w:tr w:rsidR="00403CD6">
        <w:trPr>
          <w:trHeight w:val="284"/>
        </w:trPr>
        <w:tc>
          <w:tcPr>
            <w:tcW w:w="1249"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1</w:t>
            </w:r>
            <w:r>
              <w:rPr>
                <w:rFonts w:ascii="Times New Roman" w:hAnsi="Times New Roman" w:cs="Times New Roman"/>
                <w:sz w:val="18"/>
                <w:szCs w:val="18"/>
              </w:rPr>
              <w:t>至</w:t>
            </w:r>
            <w:r>
              <w:rPr>
                <w:rFonts w:ascii="Times New Roman" w:hAnsi="Times New Roman" w:cs="Times New Roman"/>
                <w:sz w:val="18"/>
                <w:szCs w:val="18"/>
              </w:rPr>
              <w:t>2</w:t>
            </w:r>
            <w:r>
              <w:rPr>
                <w:rFonts w:ascii="Times New Roman" w:hAnsi="Times New Roman" w:cs="Times New Roman"/>
                <w:sz w:val="18"/>
                <w:szCs w:val="18"/>
              </w:rPr>
              <w:t>年</w:t>
            </w:r>
          </w:p>
        </w:tc>
        <w:tc>
          <w:tcPr>
            <w:tcW w:w="1249" w:type="pct"/>
            <w:shd w:val="clear" w:color="auto" w:fill="auto"/>
            <w:vAlign w:val="center"/>
          </w:tcPr>
          <w:p w:rsidR="00403CD6" w:rsidRDefault="00403CD6">
            <w:pPr>
              <w:jc w:val="right"/>
              <w:rPr>
                <w:rFonts w:ascii="Times New Roman" w:hAnsi="Times New Roman" w:cs="Times New Roman"/>
                <w:sz w:val="18"/>
                <w:szCs w:val="18"/>
              </w:rPr>
            </w:pPr>
          </w:p>
        </w:tc>
        <w:tc>
          <w:tcPr>
            <w:tcW w:w="1249" w:type="pct"/>
            <w:shd w:val="clear" w:color="auto" w:fill="auto"/>
            <w:vAlign w:val="center"/>
          </w:tcPr>
          <w:p w:rsidR="00403CD6" w:rsidRDefault="00403CD6">
            <w:pPr>
              <w:jc w:val="right"/>
              <w:rPr>
                <w:rFonts w:ascii="Times New Roman" w:hAnsi="Times New Roman" w:cs="Times New Roman"/>
                <w:sz w:val="18"/>
                <w:szCs w:val="18"/>
              </w:rPr>
            </w:pPr>
          </w:p>
        </w:tc>
        <w:tc>
          <w:tcPr>
            <w:tcW w:w="1253"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1249"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2</w:t>
            </w:r>
            <w:r>
              <w:rPr>
                <w:rFonts w:ascii="Times New Roman" w:hAnsi="Times New Roman" w:cs="Times New Roman"/>
                <w:sz w:val="18"/>
                <w:szCs w:val="18"/>
              </w:rPr>
              <w:t>至</w:t>
            </w:r>
            <w:r>
              <w:rPr>
                <w:rFonts w:ascii="Times New Roman" w:hAnsi="Times New Roman" w:cs="Times New Roman"/>
                <w:sz w:val="18"/>
                <w:szCs w:val="18"/>
              </w:rPr>
              <w:t>3</w:t>
            </w:r>
            <w:r>
              <w:rPr>
                <w:rFonts w:ascii="Times New Roman" w:hAnsi="Times New Roman" w:cs="Times New Roman"/>
                <w:sz w:val="18"/>
                <w:szCs w:val="18"/>
              </w:rPr>
              <w:t>年</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 1,500,000.00 </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1,500,000.00 </w:t>
            </w:r>
          </w:p>
        </w:tc>
        <w:tc>
          <w:tcPr>
            <w:tcW w:w="1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 100.00 </w:t>
            </w:r>
          </w:p>
        </w:tc>
      </w:tr>
      <w:tr w:rsidR="00403CD6">
        <w:trPr>
          <w:trHeight w:val="284"/>
        </w:trPr>
        <w:tc>
          <w:tcPr>
            <w:tcW w:w="1249"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3</w:t>
            </w:r>
            <w:r>
              <w:rPr>
                <w:rFonts w:ascii="Times New Roman" w:hAnsi="Times New Roman" w:cs="Times New Roman"/>
                <w:sz w:val="18"/>
                <w:szCs w:val="18"/>
              </w:rPr>
              <w:t>年以上</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 3,002,821.17 </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3,002,821.17 </w:t>
            </w:r>
          </w:p>
        </w:tc>
        <w:tc>
          <w:tcPr>
            <w:tcW w:w="1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 100.00 </w:t>
            </w:r>
          </w:p>
        </w:tc>
      </w:tr>
      <w:tr w:rsidR="00403CD6">
        <w:trPr>
          <w:trHeight w:val="284"/>
        </w:trPr>
        <w:tc>
          <w:tcPr>
            <w:tcW w:w="1249" w:type="pct"/>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color w:val="000000"/>
                <w:kern w:val="0"/>
                <w:sz w:val="18"/>
                <w:szCs w:val="18"/>
              </w:rPr>
            </w:pPr>
            <w:r>
              <w:rPr>
                <w:rFonts w:ascii="Times New Roman" w:hAnsi="Times New Roman" w:cs="Times New Roman"/>
                <w:color w:val="000000"/>
                <w:kern w:val="0"/>
                <w:sz w:val="18"/>
                <w:szCs w:val="18"/>
              </w:rPr>
              <w:t>合计</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19,563,534.47</w:t>
            </w:r>
          </w:p>
        </w:tc>
        <w:tc>
          <w:tcPr>
            <w:tcW w:w="124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4,538,246.16</w:t>
            </w:r>
          </w:p>
        </w:tc>
        <w:tc>
          <w:tcPr>
            <w:tcW w:w="1253"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23.20</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如是按照预期信用损失一般模型计提应收账款坏账准备：</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Cs w:val="21"/>
        </w:rPr>
      </w:pPr>
      <w:bookmarkStart w:id="184" w:name="_Toc989539"/>
      <w:r>
        <w:rPr>
          <w:rFonts w:ascii="宋体" w:eastAsia="宋体" w:hAnsi="宋体" w:cs="宋体" w:hint="eastAsia"/>
          <w:b/>
          <w:bCs/>
          <w:szCs w:val="21"/>
        </w:rPr>
        <w:t>（3） 本期计提、收回或转回的坏账准备情况</w:t>
      </w:r>
      <w:bookmarkEnd w:id="184"/>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本期计提坏账准备情况：</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6"/>
        <w:gridCol w:w="1406"/>
        <w:gridCol w:w="1406"/>
        <w:gridCol w:w="1406"/>
        <w:gridCol w:w="1406"/>
        <w:gridCol w:w="1416"/>
        <w:gridCol w:w="1407"/>
      </w:tblGrid>
      <w:tr w:rsidR="00403CD6">
        <w:trPr>
          <w:trHeight w:val="284"/>
        </w:trPr>
        <w:tc>
          <w:tcPr>
            <w:tcW w:w="71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类别</w:t>
            </w:r>
          </w:p>
        </w:tc>
        <w:tc>
          <w:tcPr>
            <w:tcW w:w="71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c>
          <w:tcPr>
            <w:tcW w:w="2857"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本期变动金额</w:t>
            </w:r>
          </w:p>
        </w:tc>
        <w:tc>
          <w:tcPr>
            <w:tcW w:w="71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r>
      <w:tr w:rsidR="00403CD6">
        <w:trPr>
          <w:trHeight w:val="284"/>
        </w:trPr>
        <w:tc>
          <w:tcPr>
            <w:tcW w:w="713" w:type="pct"/>
            <w:vMerge/>
            <w:vAlign w:val="center"/>
          </w:tcPr>
          <w:p w:rsidR="00403CD6" w:rsidRDefault="00403CD6">
            <w:pPr>
              <w:widowControl/>
              <w:rPr>
                <w:rFonts w:ascii="Times New Roman" w:eastAsia="宋体" w:hAnsi="Times New Roman" w:cs="Times New Roman"/>
                <w:sz w:val="18"/>
                <w:szCs w:val="18"/>
              </w:rPr>
            </w:pPr>
          </w:p>
        </w:tc>
        <w:tc>
          <w:tcPr>
            <w:tcW w:w="713" w:type="pct"/>
            <w:vMerge/>
            <w:vAlign w:val="center"/>
          </w:tcPr>
          <w:p w:rsidR="00403CD6" w:rsidRDefault="00403CD6">
            <w:pPr>
              <w:widowControl/>
              <w:rPr>
                <w:rFonts w:ascii="Times New Roman" w:eastAsia="宋体" w:hAnsi="Times New Roman" w:cs="Times New Roman"/>
                <w:sz w:val="18"/>
                <w:szCs w:val="18"/>
              </w:rPr>
            </w:pPr>
          </w:p>
        </w:tc>
        <w:tc>
          <w:tcPr>
            <w:tcW w:w="7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w:t>
            </w:r>
          </w:p>
        </w:tc>
        <w:tc>
          <w:tcPr>
            <w:tcW w:w="7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收回或转回</w:t>
            </w:r>
          </w:p>
        </w:tc>
        <w:tc>
          <w:tcPr>
            <w:tcW w:w="7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核销</w:t>
            </w:r>
          </w:p>
        </w:tc>
        <w:tc>
          <w:tcPr>
            <w:tcW w:w="71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714"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713" w:type="pct"/>
            <w:vAlign w:val="center"/>
          </w:tcPr>
          <w:p w:rsidR="00403CD6" w:rsidRDefault="00E91A59">
            <w:pPr>
              <w:spacing w:line="240" w:lineRule="exact"/>
              <w:rPr>
                <w:rFonts w:ascii="Times New Roman" w:eastAsia="宋体" w:hAnsi="Times New Roman" w:cs="Times New Roman"/>
                <w:sz w:val="18"/>
                <w:szCs w:val="18"/>
              </w:rPr>
            </w:pPr>
            <w:r>
              <w:rPr>
                <w:rFonts w:ascii="Times New Roman" w:eastAsia="宋体" w:hAnsi="Times New Roman" w:cs="Times New Roman" w:hint="eastAsia"/>
                <w:sz w:val="18"/>
                <w:szCs w:val="18"/>
              </w:rPr>
              <w:t>坏账准备</w:t>
            </w:r>
          </w:p>
        </w:tc>
        <w:tc>
          <w:tcPr>
            <w:tcW w:w="7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4,631,237.48</w:t>
            </w:r>
          </w:p>
        </w:tc>
        <w:tc>
          <w:tcPr>
            <w:tcW w:w="713" w:type="pct"/>
            <w:vAlign w:val="center"/>
          </w:tcPr>
          <w:p w:rsidR="00403CD6" w:rsidRDefault="00403CD6">
            <w:pPr>
              <w:spacing w:line="240" w:lineRule="exact"/>
              <w:jc w:val="right"/>
              <w:rPr>
                <w:rFonts w:ascii="Times New Roman" w:eastAsia="宋体" w:hAnsi="Times New Roman" w:cs="Times New Roman"/>
                <w:sz w:val="18"/>
                <w:szCs w:val="18"/>
              </w:rPr>
            </w:pPr>
          </w:p>
        </w:tc>
        <w:tc>
          <w:tcPr>
            <w:tcW w:w="71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87,621.07</w:t>
            </w:r>
          </w:p>
        </w:tc>
        <w:tc>
          <w:tcPr>
            <w:tcW w:w="713" w:type="pct"/>
            <w:vAlign w:val="center"/>
          </w:tcPr>
          <w:p w:rsidR="00403CD6" w:rsidRDefault="00403CD6">
            <w:pPr>
              <w:spacing w:line="240" w:lineRule="exact"/>
              <w:jc w:val="right"/>
              <w:rPr>
                <w:rFonts w:ascii="Times New Roman" w:eastAsia="宋体" w:hAnsi="Times New Roman" w:cs="Times New Roman"/>
                <w:sz w:val="18"/>
                <w:szCs w:val="18"/>
              </w:rPr>
            </w:pPr>
          </w:p>
        </w:tc>
        <w:tc>
          <w:tcPr>
            <w:tcW w:w="715" w:type="pct"/>
            <w:vAlign w:val="center"/>
          </w:tcPr>
          <w:p w:rsidR="00403CD6" w:rsidRDefault="00403CD6">
            <w:pPr>
              <w:spacing w:line="240" w:lineRule="exact"/>
              <w:jc w:val="right"/>
              <w:rPr>
                <w:rFonts w:ascii="Times New Roman" w:eastAsia="宋体" w:hAnsi="Times New Roman" w:cs="Times New Roman"/>
                <w:sz w:val="18"/>
                <w:szCs w:val="18"/>
              </w:rPr>
            </w:pPr>
          </w:p>
        </w:tc>
        <w:tc>
          <w:tcPr>
            <w:tcW w:w="714"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4,543,616.41</w:t>
            </w:r>
          </w:p>
        </w:tc>
      </w:tr>
      <w:tr w:rsidR="00403CD6">
        <w:trPr>
          <w:trHeight w:val="284"/>
        </w:trPr>
        <w:tc>
          <w:tcPr>
            <w:tcW w:w="71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713" w:type="pct"/>
            <w:shd w:val="clear" w:color="auto" w:fill="auto"/>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 xml:space="preserve">   4,631,237.48</w:t>
            </w:r>
          </w:p>
        </w:tc>
        <w:tc>
          <w:tcPr>
            <w:tcW w:w="713" w:type="pct"/>
            <w:shd w:val="clear" w:color="auto" w:fill="auto"/>
            <w:vAlign w:val="center"/>
          </w:tcPr>
          <w:p w:rsidR="00403CD6" w:rsidRDefault="00403CD6">
            <w:pPr>
              <w:spacing w:line="240" w:lineRule="exact"/>
              <w:jc w:val="right"/>
              <w:rPr>
                <w:rFonts w:ascii="Times New Roman" w:eastAsia="宋体" w:hAnsi="Times New Roman" w:cs="Times New Roman"/>
                <w:sz w:val="18"/>
                <w:szCs w:val="18"/>
              </w:rPr>
            </w:pPr>
          </w:p>
        </w:tc>
        <w:tc>
          <w:tcPr>
            <w:tcW w:w="713" w:type="pct"/>
            <w:shd w:val="clear" w:color="auto" w:fill="auto"/>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87,621.07</w:t>
            </w:r>
          </w:p>
        </w:tc>
        <w:tc>
          <w:tcPr>
            <w:tcW w:w="713" w:type="pct"/>
            <w:shd w:val="clear" w:color="auto" w:fill="auto"/>
            <w:vAlign w:val="center"/>
          </w:tcPr>
          <w:p w:rsidR="00403CD6" w:rsidRDefault="00403CD6">
            <w:pPr>
              <w:spacing w:line="240" w:lineRule="exact"/>
              <w:jc w:val="right"/>
              <w:rPr>
                <w:rFonts w:ascii="Times New Roman" w:eastAsia="宋体" w:hAnsi="Times New Roman" w:cs="Times New Roman"/>
                <w:sz w:val="18"/>
                <w:szCs w:val="18"/>
              </w:rPr>
            </w:pPr>
          </w:p>
        </w:tc>
        <w:tc>
          <w:tcPr>
            <w:tcW w:w="715" w:type="pct"/>
            <w:shd w:val="clear" w:color="auto" w:fill="auto"/>
            <w:vAlign w:val="center"/>
          </w:tcPr>
          <w:p w:rsidR="00403CD6" w:rsidRDefault="00403CD6">
            <w:pPr>
              <w:spacing w:line="240" w:lineRule="exact"/>
              <w:jc w:val="right"/>
              <w:rPr>
                <w:rFonts w:ascii="Times New Roman" w:eastAsia="宋体" w:hAnsi="Times New Roman" w:cs="Times New Roman"/>
                <w:sz w:val="18"/>
                <w:szCs w:val="18"/>
              </w:rPr>
            </w:pPr>
          </w:p>
        </w:tc>
        <w:tc>
          <w:tcPr>
            <w:tcW w:w="714" w:type="pct"/>
            <w:shd w:val="clear" w:color="auto" w:fill="auto"/>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eastAsia="仿宋_GB2312" w:hAnsi="Times New Roman" w:cs="Times New Roman"/>
                <w:sz w:val="18"/>
                <w:szCs w:val="18"/>
              </w:rPr>
              <w:t>4,543,616.41</w:t>
            </w:r>
          </w:p>
        </w:tc>
      </w:tr>
    </w:tbl>
    <w:p w:rsidR="00403CD6" w:rsidRDefault="00E91A59">
      <w:pPr>
        <w:keepNext/>
        <w:keepLines/>
        <w:spacing w:before="300" w:after="300" w:line="280" w:lineRule="exact"/>
        <w:outlineLvl w:val="3"/>
        <w:rPr>
          <w:rFonts w:ascii="宋体" w:eastAsia="宋体" w:hAnsi="宋体" w:cs="宋体"/>
          <w:b/>
          <w:bCs/>
          <w:szCs w:val="21"/>
        </w:rPr>
      </w:pPr>
      <w:bookmarkStart w:id="185" w:name="_Toc989541"/>
      <w:r>
        <w:rPr>
          <w:rFonts w:ascii="宋体" w:eastAsia="宋体" w:hAnsi="宋体" w:cs="宋体" w:hint="eastAsia"/>
          <w:b/>
          <w:bCs/>
          <w:szCs w:val="21"/>
        </w:rPr>
        <w:t>（4） 按欠款方归集的期末余额前五名的应收账款和合同资产情况</w:t>
      </w:r>
      <w:bookmarkEnd w:id="185"/>
    </w:p>
    <w:p w:rsidR="00403CD6" w:rsidRDefault="00E91A59">
      <w:pPr>
        <w:spacing w:before="100" w:after="100" w:line="240" w:lineRule="exact"/>
        <w:ind w:firstLineChars="200" w:firstLine="360"/>
        <w:rPr>
          <w:rFonts w:ascii="Times New Roman" w:eastAsia="宋体" w:hAnsi="Times New Roman" w:cs="Times New Roman"/>
          <w:sz w:val="18"/>
          <w:szCs w:val="18"/>
        </w:rPr>
      </w:pPr>
      <w:r>
        <w:rPr>
          <w:rFonts w:ascii="Times New Roman" w:eastAsia="宋体" w:hAnsi="Times New Roman" w:cs="Times New Roman" w:hint="eastAsia"/>
          <w:sz w:val="18"/>
          <w:szCs w:val="18"/>
        </w:rPr>
        <w:t>本期按欠款方归集的期末余额前五名应收账款和合同资产汇总金额</w:t>
      </w:r>
      <w:r>
        <w:rPr>
          <w:rFonts w:ascii="Times New Roman" w:hAnsi="Times New Roman" w:cs="Times New Roman"/>
          <w:color w:val="000000"/>
          <w:sz w:val="18"/>
          <w:szCs w:val="18"/>
        </w:rPr>
        <w:t>245,062,281.41</w:t>
      </w:r>
      <w:r>
        <w:rPr>
          <w:rFonts w:ascii="Times New Roman" w:eastAsia="宋体" w:hAnsi="Times New Roman" w:cs="Times New Roman" w:hint="eastAsia"/>
          <w:sz w:val="18"/>
          <w:szCs w:val="18"/>
        </w:rPr>
        <w:t>元，占应收账款和合同资产期末余额合计数的比例</w:t>
      </w:r>
      <w:r>
        <w:rPr>
          <w:rFonts w:ascii="Times New Roman" w:eastAsia="宋体" w:hAnsi="Times New Roman" w:cs="Times New Roman" w:hint="eastAsia"/>
          <w:sz w:val="18"/>
          <w:szCs w:val="18"/>
        </w:rPr>
        <w:t>99.88%</w:t>
      </w:r>
      <w:r>
        <w:rPr>
          <w:rFonts w:ascii="Times New Roman" w:eastAsia="宋体" w:hAnsi="Times New Roman" w:cs="Times New Roman" w:hint="eastAsia"/>
          <w:sz w:val="18"/>
          <w:szCs w:val="18"/>
        </w:rPr>
        <w:t>，相应计提的坏账准备期末余额汇总金额</w:t>
      </w:r>
      <w:r>
        <w:rPr>
          <w:rFonts w:ascii="Times New Roman" w:hAnsi="Times New Roman" w:cs="Times New Roman"/>
          <w:color w:val="000000"/>
          <w:sz w:val="18"/>
          <w:szCs w:val="18"/>
        </w:rPr>
        <w:t>4,462,071.86</w:t>
      </w:r>
      <w:r>
        <w:rPr>
          <w:rFonts w:ascii="Times New Roman" w:eastAsia="宋体" w:hAnsi="Times New Roman" w:cs="Times New Roman" w:hint="eastAsia"/>
          <w:sz w:val="18"/>
          <w:szCs w:val="18"/>
        </w:rPr>
        <w:t>元。</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492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0"/>
        <w:gridCol w:w="2609"/>
        <w:gridCol w:w="2321"/>
        <w:gridCol w:w="2613"/>
      </w:tblGrid>
      <w:tr w:rsidR="00403CD6">
        <w:trPr>
          <w:trHeight w:val="284"/>
        </w:trPr>
        <w:tc>
          <w:tcPr>
            <w:tcW w:w="11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单位名称</w:t>
            </w:r>
          </w:p>
        </w:tc>
        <w:tc>
          <w:tcPr>
            <w:tcW w:w="134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应收账款期末余额</w:t>
            </w:r>
          </w:p>
        </w:tc>
        <w:tc>
          <w:tcPr>
            <w:tcW w:w="119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占应收账款期末余额</w:t>
            </w:r>
            <w:r>
              <w:rPr>
                <w:rFonts w:ascii="Times New Roman" w:eastAsia="宋体" w:hAnsi="Times New Roman" w:cs="Times New Roman" w:hint="eastAsia"/>
                <w:sz w:val="18"/>
                <w:szCs w:val="18"/>
              </w:rPr>
              <w:t>合计数</w:t>
            </w:r>
            <w:r>
              <w:rPr>
                <w:rFonts w:ascii="Times New Roman" w:eastAsia="宋体" w:hAnsi="Times New Roman" w:cs="Times New Roman"/>
                <w:sz w:val="18"/>
                <w:szCs w:val="18"/>
              </w:rPr>
              <w:t>的比例</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w:t>
            </w:r>
          </w:p>
        </w:tc>
        <w:tc>
          <w:tcPr>
            <w:tcW w:w="134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应收账款坏账准备期末余额</w:t>
            </w:r>
          </w:p>
        </w:tc>
      </w:tr>
      <w:tr w:rsidR="00403CD6">
        <w:trPr>
          <w:trHeight w:val="284"/>
        </w:trPr>
        <w:tc>
          <w:tcPr>
            <w:tcW w:w="1117" w:type="pct"/>
            <w:vAlign w:val="center"/>
          </w:tcPr>
          <w:p w:rsidR="00403CD6" w:rsidRDefault="00E91A59">
            <w:pPr>
              <w:spacing w:line="240" w:lineRule="exact"/>
              <w:jc w:val="both"/>
              <w:rPr>
                <w:rFonts w:ascii="Times New Roman" w:eastAsia="宋体" w:hAnsi="Times New Roman" w:cs="Times New Roman"/>
                <w:sz w:val="18"/>
                <w:szCs w:val="18"/>
              </w:rPr>
            </w:pPr>
            <w:r>
              <w:rPr>
                <w:rFonts w:ascii="Times New Roman" w:hAnsi="Times New Roman" w:cs="Times New Roman"/>
                <w:sz w:val="18"/>
                <w:szCs w:val="18"/>
              </w:rPr>
              <w:t>客户</w:t>
            </w:r>
            <w:proofErr w:type="gramStart"/>
            <w:r>
              <w:rPr>
                <w:rFonts w:ascii="Times New Roman" w:hAnsi="Times New Roman" w:cs="Times New Roman"/>
                <w:sz w:val="18"/>
                <w:szCs w:val="18"/>
              </w:rPr>
              <w:t>一</w:t>
            </w:r>
            <w:proofErr w:type="gramEnd"/>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235,000,843.97</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95.79%</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 xml:space="preserve">　</w:t>
            </w:r>
          </w:p>
        </w:tc>
      </w:tr>
      <w:tr w:rsidR="00403CD6">
        <w:trPr>
          <w:trHeight w:val="284"/>
        </w:trPr>
        <w:tc>
          <w:tcPr>
            <w:tcW w:w="1117" w:type="pct"/>
            <w:vAlign w:val="center"/>
          </w:tcPr>
          <w:p w:rsidR="00403CD6" w:rsidRDefault="00E91A59">
            <w:pPr>
              <w:spacing w:line="240" w:lineRule="exact"/>
              <w:jc w:val="both"/>
              <w:rPr>
                <w:rFonts w:ascii="Times New Roman" w:eastAsia="宋体" w:hAnsi="Times New Roman" w:cs="Times New Roman"/>
                <w:sz w:val="18"/>
                <w:szCs w:val="18"/>
              </w:rPr>
            </w:pPr>
            <w:r>
              <w:rPr>
                <w:rFonts w:ascii="Times New Roman" w:hAnsi="Times New Roman" w:cs="Times New Roman"/>
                <w:sz w:val="18"/>
                <w:szCs w:val="18"/>
              </w:rPr>
              <w:t>客户二</w:t>
            </w:r>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4,422,600.00</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1.80%</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4,422,600.00</w:t>
            </w:r>
          </w:p>
        </w:tc>
      </w:tr>
      <w:tr w:rsidR="00403CD6">
        <w:trPr>
          <w:trHeight w:val="284"/>
        </w:trPr>
        <w:tc>
          <w:tcPr>
            <w:tcW w:w="1117" w:type="pct"/>
            <w:vAlign w:val="center"/>
          </w:tcPr>
          <w:p w:rsidR="00403CD6" w:rsidRDefault="00E91A59">
            <w:pPr>
              <w:spacing w:line="240" w:lineRule="exact"/>
              <w:jc w:val="both"/>
              <w:rPr>
                <w:rFonts w:ascii="Times New Roman" w:eastAsia="宋体" w:hAnsi="Times New Roman" w:cs="Times New Roman"/>
                <w:sz w:val="18"/>
                <w:szCs w:val="18"/>
              </w:rPr>
            </w:pPr>
            <w:r>
              <w:rPr>
                <w:rFonts w:ascii="Times New Roman" w:hAnsi="Times New Roman" w:cs="Times New Roman"/>
                <w:sz w:val="18"/>
                <w:szCs w:val="18"/>
              </w:rPr>
              <w:t>客户三</w:t>
            </w:r>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2,607,456.33</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1.06%</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18,252.19</w:t>
            </w:r>
          </w:p>
        </w:tc>
      </w:tr>
      <w:tr w:rsidR="00403CD6">
        <w:trPr>
          <w:trHeight w:val="284"/>
        </w:trPr>
        <w:tc>
          <w:tcPr>
            <w:tcW w:w="1117" w:type="pct"/>
            <w:vAlign w:val="center"/>
          </w:tcPr>
          <w:p w:rsidR="00403CD6" w:rsidRDefault="00E91A59">
            <w:pPr>
              <w:spacing w:line="240" w:lineRule="exact"/>
              <w:jc w:val="both"/>
              <w:rPr>
                <w:rFonts w:ascii="Times New Roman" w:eastAsia="宋体" w:hAnsi="Times New Roman" w:cs="Times New Roman"/>
                <w:sz w:val="18"/>
                <w:szCs w:val="18"/>
              </w:rPr>
            </w:pPr>
            <w:r>
              <w:rPr>
                <w:rFonts w:ascii="Times New Roman" w:hAnsi="Times New Roman" w:cs="Times New Roman"/>
                <w:sz w:val="18"/>
                <w:szCs w:val="18"/>
              </w:rPr>
              <w:t>客户四</w:t>
            </w:r>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2,264,202.90</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0.92%</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15,849.42</w:t>
            </w:r>
          </w:p>
        </w:tc>
      </w:tr>
      <w:tr w:rsidR="00403CD6">
        <w:trPr>
          <w:trHeight w:val="284"/>
        </w:trPr>
        <w:tc>
          <w:tcPr>
            <w:tcW w:w="1117" w:type="pct"/>
            <w:vAlign w:val="center"/>
          </w:tcPr>
          <w:p w:rsidR="00403CD6" w:rsidRDefault="00E91A59">
            <w:pPr>
              <w:spacing w:line="240" w:lineRule="exact"/>
              <w:jc w:val="both"/>
              <w:rPr>
                <w:rFonts w:ascii="Times New Roman" w:eastAsia="宋体" w:hAnsi="Times New Roman" w:cs="Times New Roman"/>
                <w:sz w:val="18"/>
                <w:szCs w:val="18"/>
              </w:rPr>
            </w:pPr>
            <w:r>
              <w:rPr>
                <w:rFonts w:ascii="Times New Roman" w:hAnsi="Times New Roman" w:cs="Times New Roman"/>
                <w:sz w:val="18"/>
                <w:szCs w:val="18"/>
              </w:rPr>
              <w:t>客户五</w:t>
            </w:r>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767,178.21</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0.31%</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5,370.25</w:t>
            </w:r>
          </w:p>
        </w:tc>
      </w:tr>
      <w:tr w:rsidR="00403CD6">
        <w:trPr>
          <w:trHeight w:val="284"/>
        </w:trPr>
        <w:tc>
          <w:tcPr>
            <w:tcW w:w="111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343"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245,062,281.41</w:t>
            </w:r>
          </w:p>
        </w:tc>
        <w:tc>
          <w:tcPr>
            <w:tcW w:w="119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99.88%</w:t>
            </w:r>
          </w:p>
        </w:tc>
        <w:tc>
          <w:tcPr>
            <w:tcW w:w="134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hAnsi="Times New Roman" w:cs="Times New Roman"/>
                <w:color w:val="000000"/>
                <w:sz w:val="18"/>
                <w:szCs w:val="18"/>
              </w:rPr>
              <w:t>4,462,071.86</w:t>
            </w:r>
          </w:p>
        </w:tc>
      </w:tr>
    </w:tbl>
    <w:p w:rsidR="00403CD6" w:rsidRDefault="00E91A59">
      <w:pPr>
        <w:keepNext/>
        <w:keepLines/>
        <w:spacing w:before="300" w:after="300" w:line="280" w:lineRule="exact"/>
        <w:outlineLvl w:val="2"/>
        <w:rPr>
          <w:rFonts w:ascii="宋体" w:eastAsia="宋体" w:hAnsi="宋体" w:cs="宋体"/>
          <w:b/>
          <w:bCs/>
          <w:szCs w:val="21"/>
        </w:rPr>
      </w:pPr>
      <w:bookmarkStart w:id="186" w:name="_Toc989542"/>
      <w:r>
        <w:rPr>
          <w:rFonts w:ascii="宋体" w:eastAsia="宋体" w:hAnsi="宋体" w:cs="宋体" w:hint="eastAsia"/>
          <w:b/>
          <w:bCs/>
          <w:szCs w:val="21"/>
        </w:rPr>
        <w:t>2、其他应收款</w:t>
      </w:r>
      <w:bookmarkEnd w:id="186"/>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6"/>
        <w:gridCol w:w="3286"/>
        <w:gridCol w:w="3281"/>
      </w:tblGrid>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应收利息</w:t>
            </w:r>
          </w:p>
        </w:tc>
        <w:tc>
          <w:tcPr>
            <w:tcW w:w="1667" w:type="pct"/>
            <w:vAlign w:val="center"/>
          </w:tcPr>
          <w:p w:rsidR="00403CD6" w:rsidRDefault="00403CD6">
            <w:pPr>
              <w:spacing w:line="240" w:lineRule="exact"/>
              <w:jc w:val="right"/>
              <w:rPr>
                <w:rFonts w:ascii="Times New Roman" w:eastAsia="宋体" w:hAnsi="Times New Roman" w:cs="Times New Roman"/>
                <w:sz w:val="18"/>
                <w:szCs w:val="18"/>
              </w:rPr>
            </w:pPr>
          </w:p>
        </w:tc>
        <w:tc>
          <w:tcPr>
            <w:tcW w:w="166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应收股利</w:t>
            </w:r>
          </w:p>
        </w:tc>
        <w:tc>
          <w:tcPr>
            <w:tcW w:w="1667" w:type="pct"/>
            <w:vAlign w:val="center"/>
          </w:tcPr>
          <w:p w:rsidR="00403CD6" w:rsidRDefault="00403CD6">
            <w:pPr>
              <w:spacing w:line="240" w:lineRule="exact"/>
              <w:jc w:val="right"/>
              <w:rPr>
                <w:rFonts w:ascii="Times New Roman" w:eastAsia="宋体" w:hAnsi="Times New Roman" w:cs="Times New Roman"/>
                <w:sz w:val="18"/>
                <w:szCs w:val="18"/>
              </w:rPr>
            </w:pPr>
          </w:p>
        </w:tc>
        <w:tc>
          <w:tcPr>
            <w:tcW w:w="1665" w:type="pct"/>
            <w:vAlign w:val="center"/>
          </w:tcPr>
          <w:p w:rsidR="00403CD6" w:rsidRDefault="00403CD6">
            <w:pPr>
              <w:spacing w:line="240" w:lineRule="exact"/>
              <w:jc w:val="right"/>
              <w:rPr>
                <w:rFonts w:ascii="Times New Roman" w:eastAsia="宋体" w:hAnsi="Times New Roman" w:cs="Times New Roman"/>
                <w:sz w:val="18"/>
                <w:szCs w:val="18"/>
              </w:rPr>
            </w:pPr>
          </w:p>
        </w:tc>
      </w:tr>
      <w:tr w:rsidR="00403CD6">
        <w:trPr>
          <w:trHeight w:val="284"/>
        </w:trPr>
        <w:tc>
          <w:tcPr>
            <w:tcW w:w="1667"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其他应收款</w:t>
            </w:r>
          </w:p>
        </w:tc>
        <w:tc>
          <w:tcPr>
            <w:tcW w:w="1667" w:type="pct"/>
            <w:shd w:val="clear" w:color="auto" w:fill="auto"/>
            <w:vAlign w:val="center"/>
          </w:tcPr>
          <w:p w:rsidR="00403CD6" w:rsidRDefault="00E91A59">
            <w:pPr>
              <w:tabs>
                <w:tab w:val="left" w:pos="735"/>
              </w:tabs>
              <w:adjustRightInd w:val="0"/>
              <w:snapToGrid w:val="0"/>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8,459,731,199.92</w:t>
            </w:r>
          </w:p>
        </w:tc>
        <w:tc>
          <w:tcPr>
            <w:tcW w:w="1665" w:type="pct"/>
            <w:shd w:val="clear" w:color="auto" w:fill="auto"/>
            <w:vAlign w:val="center"/>
          </w:tcPr>
          <w:p w:rsidR="00403CD6" w:rsidRDefault="00E91A59">
            <w:pPr>
              <w:tabs>
                <w:tab w:val="left" w:pos="735"/>
              </w:tabs>
              <w:adjustRightInd w:val="0"/>
              <w:snapToGrid w:val="0"/>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9,237,241,240.86</w:t>
            </w:r>
          </w:p>
        </w:tc>
      </w:tr>
      <w:tr w:rsidR="00403CD6">
        <w:trPr>
          <w:trHeight w:val="284"/>
        </w:trPr>
        <w:tc>
          <w:tcPr>
            <w:tcW w:w="16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667"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kern w:val="0"/>
                <w:sz w:val="18"/>
                <w:szCs w:val="18"/>
              </w:rPr>
              <w:t>8,459,731,199.92</w:t>
            </w:r>
          </w:p>
        </w:tc>
        <w:tc>
          <w:tcPr>
            <w:tcW w:w="1665"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9,237,241,240.86</w:t>
            </w:r>
          </w:p>
        </w:tc>
      </w:tr>
    </w:tbl>
    <w:p w:rsidR="00403CD6" w:rsidRDefault="00E91A59">
      <w:pPr>
        <w:keepNext/>
        <w:keepLines/>
        <w:numPr>
          <w:ilvl w:val="0"/>
          <w:numId w:val="5"/>
        </w:numPr>
        <w:spacing w:before="300" w:after="300" w:line="280" w:lineRule="exact"/>
        <w:outlineLvl w:val="3"/>
        <w:rPr>
          <w:rFonts w:ascii="宋体" w:eastAsia="宋体" w:hAnsi="宋体" w:cs="宋体"/>
          <w:b/>
          <w:bCs/>
          <w:sz w:val="18"/>
          <w:szCs w:val="18"/>
        </w:rPr>
      </w:pPr>
      <w:r>
        <w:rPr>
          <w:rFonts w:ascii="宋体" w:eastAsia="宋体" w:hAnsi="宋体" w:cs="宋体" w:hint="eastAsia"/>
          <w:b/>
          <w:bCs/>
          <w:sz w:val="18"/>
          <w:szCs w:val="18"/>
        </w:rPr>
        <w:lastRenderedPageBreak/>
        <w:t>其他应收款</w:t>
      </w:r>
    </w:p>
    <w:p w:rsidR="00403CD6" w:rsidRDefault="00E91A59">
      <w:pPr>
        <w:keepNext/>
        <w:keepLines/>
        <w:numPr>
          <w:ilvl w:val="0"/>
          <w:numId w:val="6"/>
        </w:numPr>
        <w:spacing w:before="300" w:after="300" w:line="280" w:lineRule="exact"/>
        <w:outlineLvl w:val="4"/>
        <w:rPr>
          <w:rFonts w:ascii="Times New Roman" w:eastAsia="宋体" w:hAnsi="Times New Roman" w:cs="Times New Roman"/>
          <w:b/>
          <w:bCs/>
          <w:sz w:val="18"/>
          <w:szCs w:val="18"/>
        </w:rPr>
      </w:pPr>
      <w:bookmarkStart w:id="187" w:name="_Toc989549"/>
      <w:r>
        <w:rPr>
          <w:rFonts w:ascii="Times New Roman" w:eastAsia="宋体" w:hAnsi="Times New Roman" w:cs="Times New Roman"/>
          <w:b/>
          <w:bCs/>
          <w:sz w:val="18"/>
          <w:szCs w:val="18"/>
        </w:rPr>
        <w:t>其他应收款按款项性质分类情况</w:t>
      </w:r>
      <w:bookmarkEnd w:id="187"/>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8" w:space="0" w:color="auto"/>
          <w:bottom w:val="single" w:sz="8" w:space="0" w:color="auto"/>
        </w:tblBorders>
        <w:tblLook w:val="04A0" w:firstRow="1" w:lastRow="0" w:firstColumn="1" w:lastColumn="0" w:noHBand="0" w:noVBand="1"/>
      </w:tblPr>
      <w:tblGrid>
        <w:gridCol w:w="3285"/>
        <w:gridCol w:w="3285"/>
        <w:gridCol w:w="3283"/>
      </w:tblGrid>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项目</w:t>
            </w:r>
          </w:p>
        </w:tc>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期末余额</w:t>
            </w:r>
          </w:p>
        </w:tc>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上年年末余额</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往来款</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8,539,141,510.67</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9,304,134,372.16</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保证金、押金</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820,000.00</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740,000.00</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备用金及借款</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13,009,976.80</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22,523,648.60</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其他</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1,150,970.20</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1,793,548.63</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小</w:t>
            </w:r>
            <w:r>
              <w:rPr>
                <w:rFonts w:ascii="Times New Roman" w:hAnsi="Times New Roman" w:cs="Times New Roman"/>
                <w:bCs/>
                <w:kern w:val="0"/>
                <w:sz w:val="18"/>
                <w:szCs w:val="18"/>
              </w:rPr>
              <w:t xml:space="preserve">  </w:t>
            </w:r>
            <w:r>
              <w:rPr>
                <w:rFonts w:ascii="Times New Roman" w:hAnsi="Times New Roman" w:cs="Times New Roman"/>
                <w:bCs/>
                <w:kern w:val="0"/>
                <w:sz w:val="18"/>
                <w:szCs w:val="18"/>
              </w:rPr>
              <w:t>计</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8,554,122,457.67</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9,329,191,569.39</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减：坏账准备</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94,391,257.75</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91,950,328.53</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合</w:t>
            </w:r>
            <w:r>
              <w:rPr>
                <w:rFonts w:ascii="Times New Roman" w:hAnsi="Times New Roman" w:cs="Times New Roman"/>
                <w:bCs/>
                <w:kern w:val="0"/>
                <w:sz w:val="18"/>
                <w:szCs w:val="18"/>
              </w:rPr>
              <w:t xml:space="preserve"> </w:t>
            </w:r>
            <w:r>
              <w:rPr>
                <w:rFonts w:ascii="Times New Roman" w:hAnsi="Times New Roman" w:cs="Times New Roman"/>
                <w:bCs/>
                <w:kern w:val="0"/>
                <w:sz w:val="18"/>
                <w:szCs w:val="18"/>
              </w:rPr>
              <w:t>计</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8,459,731,199.92</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9,237,241,240.86</w:t>
            </w:r>
          </w:p>
        </w:tc>
      </w:tr>
    </w:tbl>
    <w:p w:rsidR="00403CD6" w:rsidRDefault="00E91A59">
      <w:pPr>
        <w:keepNext/>
        <w:keepLines/>
        <w:spacing w:before="300" w:after="300" w:line="280" w:lineRule="exact"/>
        <w:outlineLvl w:val="4"/>
        <w:rPr>
          <w:rFonts w:ascii="Times New Roman" w:eastAsia="宋体" w:hAnsi="Times New Roman" w:cs="Times New Roman"/>
          <w:b/>
          <w:bCs/>
          <w:sz w:val="18"/>
          <w:szCs w:val="18"/>
        </w:rPr>
      </w:pPr>
      <w:r>
        <w:rPr>
          <w:rFonts w:ascii="Times New Roman" w:eastAsia="宋体" w:hAnsi="Times New Roman" w:cs="Times New Roman" w:hint="eastAsia"/>
          <w:b/>
          <w:bCs/>
          <w:sz w:val="18"/>
          <w:szCs w:val="18"/>
        </w:rPr>
        <w:t>2</w:t>
      </w:r>
      <w:r>
        <w:rPr>
          <w:rFonts w:ascii="Times New Roman" w:eastAsia="宋体" w:hAnsi="Times New Roman" w:cs="Times New Roman" w:hint="eastAsia"/>
          <w:b/>
          <w:bCs/>
          <w:sz w:val="18"/>
          <w:szCs w:val="18"/>
        </w:rPr>
        <w:t>）</w:t>
      </w:r>
      <w:proofErr w:type="gramStart"/>
      <w:r>
        <w:rPr>
          <w:rFonts w:ascii="Times New Roman" w:eastAsia="宋体" w:hAnsi="Times New Roman" w:cs="Times New Roman" w:hint="eastAsia"/>
          <w:b/>
          <w:bCs/>
          <w:sz w:val="18"/>
          <w:szCs w:val="18"/>
        </w:rPr>
        <w:t>按账龄</w:t>
      </w:r>
      <w:proofErr w:type="gramEnd"/>
      <w:r>
        <w:rPr>
          <w:rFonts w:ascii="Times New Roman" w:eastAsia="宋体" w:hAnsi="Times New Roman" w:cs="Times New Roman" w:hint="eastAsia"/>
          <w:b/>
          <w:bCs/>
          <w:sz w:val="18"/>
          <w:szCs w:val="18"/>
        </w:rPr>
        <w:t>披露</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jc w:val="center"/>
        <w:tblBorders>
          <w:top w:val="single" w:sz="8" w:space="0" w:color="auto"/>
          <w:bottom w:val="single" w:sz="8" w:space="0" w:color="auto"/>
        </w:tblBorders>
        <w:tblLook w:val="04A0" w:firstRow="1" w:lastRow="0" w:firstColumn="1" w:lastColumn="0" w:noHBand="0" w:noVBand="1"/>
      </w:tblPr>
      <w:tblGrid>
        <w:gridCol w:w="3285"/>
        <w:gridCol w:w="3285"/>
        <w:gridCol w:w="3283"/>
      </w:tblGrid>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账</w:t>
            </w:r>
            <w:r>
              <w:rPr>
                <w:rFonts w:ascii="Times New Roman" w:hAnsi="Times New Roman" w:cs="Times New Roman"/>
                <w:bCs/>
                <w:kern w:val="0"/>
                <w:sz w:val="18"/>
                <w:szCs w:val="18"/>
              </w:rPr>
              <w:t xml:space="preserve"> </w:t>
            </w:r>
            <w:r>
              <w:rPr>
                <w:rFonts w:ascii="Times New Roman" w:hAnsi="Times New Roman" w:cs="Times New Roman"/>
                <w:bCs/>
                <w:kern w:val="0"/>
                <w:sz w:val="18"/>
                <w:szCs w:val="18"/>
              </w:rPr>
              <w:t>龄</w:t>
            </w:r>
          </w:p>
        </w:tc>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期末余额</w:t>
            </w:r>
          </w:p>
        </w:tc>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snapToGrid w:val="0"/>
              <w:jc w:val="center"/>
              <w:outlineLvl w:val="1"/>
              <w:rPr>
                <w:rFonts w:ascii="Times New Roman" w:hAnsi="Times New Roman" w:cs="Times New Roman"/>
                <w:bCs/>
                <w:kern w:val="0"/>
                <w:sz w:val="18"/>
                <w:szCs w:val="18"/>
              </w:rPr>
            </w:pPr>
            <w:r>
              <w:rPr>
                <w:rFonts w:ascii="Times New Roman" w:hAnsi="Times New Roman" w:cs="Times New Roman"/>
                <w:bCs/>
                <w:kern w:val="0"/>
                <w:sz w:val="18"/>
                <w:szCs w:val="18"/>
              </w:rPr>
              <w:t>上年年末余额</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1</w:t>
            </w:r>
            <w:r>
              <w:rPr>
                <w:rFonts w:ascii="Times New Roman" w:hAnsi="Times New Roman" w:cs="Times New Roman"/>
                <w:bCs/>
                <w:kern w:val="0"/>
                <w:sz w:val="18"/>
                <w:szCs w:val="18"/>
              </w:rPr>
              <w:t>年以内</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8,439,577,689.53</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9,165,796,778.41</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1</w:t>
            </w:r>
            <w:r>
              <w:rPr>
                <w:rFonts w:ascii="Times New Roman" w:hAnsi="Times New Roman" w:cs="Times New Roman"/>
                <w:bCs/>
                <w:kern w:val="0"/>
                <w:sz w:val="18"/>
                <w:szCs w:val="18"/>
              </w:rPr>
              <w:t>至</w:t>
            </w:r>
            <w:r>
              <w:rPr>
                <w:rFonts w:ascii="Times New Roman" w:hAnsi="Times New Roman" w:cs="Times New Roman"/>
                <w:bCs/>
                <w:kern w:val="0"/>
                <w:sz w:val="18"/>
                <w:szCs w:val="18"/>
              </w:rPr>
              <w:t>2</w:t>
            </w:r>
            <w:r>
              <w:rPr>
                <w:rFonts w:ascii="Times New Roman" w:hAnsi="Times New Roman" w:cs="Times New Roman"/>
                <w:bCs/>
                <w:kern w:val="0"/>
                <w:sz w:val="18"/>
                <w:szCs w:val="18"/>
              </w:rPr>
              <w:t>年</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8,767,733.14</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76,289,024.67</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2</w:t>
            </w:r>
            <w:r>
              <w:rPr>
                <w:rFonts w:ascii="Times New Roman" w:hAnsi="Times New Roman" w:cs="Times New Roman"/>
                <w:bCs/>
                <w:kern w:val="0"/>
                <w:sz w:val="18"/>
                <w:szCs w:val="18"/>
              </w:rPr>
              <w:t>至</w:t>
            </w:r>
            <w:r>
              <w:rPr>
                <w:rFonts w:ascii="Times New Roman" w:hAnsi="Times New Roman" w:cs="Times New Roman"/>
                <w:bCs/>
                <w:kern w:val="0"/>
                <w:sz w:val="18"/>
                <w:szCs w:val="18"/>
              </w:rPr>
              <w:t>3</w:t>
            </w:r>
            <w:r>
              <w:rPr>
                <w:rFonts w:ascii="Times New Roman" w:hAnsi="Times New Roman" w:cs="Times New Roman"/>
                <w:bCs/>
                <w:kern w:val="0"/>
                <w:sz w:val="18"/>
                <w:szCs w:val="18"/>
              </w:rPr>
              <w:t>年</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41,423,849.01</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7,386,768.10</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3</w:t>
            </w:r>
            <w:r>
              <w:rPr>
                <w:rFonts w:ascii="Times New Roman" w:hAnsi="Times New Roman" w:cs="Times New Roman"/>
                <w:bCs/>
                <w:kern w:val="0"/>
                <w:sz w:val="18"/>
                <w:szCs w:val="18"/>
              </w:rPr>
              <w:t>年以上</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64,353,185.99</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79,718,998.21</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小计</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8,554,122,457.67</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9,329,191,569.39</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snapToGrid w:val="0"/>
              <w:outlineLvl w:val="1"/>
              <w:rPr>
                <w:rFonts w:ascii="Times New Roman" w:hAnsi="Times New Roman" w:cs="Times New Roman"/>
                <w:bCs/>
                <w:kern w:val="0"/>
                <w:sz w:val="18"/>
                <w:szCs w:val="18"/>
              </w:rPr>
            </w:pPr>
            <w:r>
              <w:rPr>
                <w:rFonts w:ascii="Times New Roman" w:hAnsi="Times New Roman" w:cs="Times New Roman"/>
                <w:bCs/>
                <w:kern w:val="0"/>
                <w:sz w:val="18"/>
                <w:szCs w:val="18"/>
              </w:rPr>
              <w:t>减：坏账准备</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94,391,257.75</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91,950,328.53</w:t>
            </w:r>
          </w:p>
        </w:tc>
      </w:tr>
      <w:tr w:rsidR="00403CD6">
        <w:trPr>
          <w:cantSplit/>
          <w:trHeight w:val="284"/>
          <w:jc w:val="center"/>
        </w:trPr>
        <w:tc>
          <w:tcPr>
            <w:tcW w:w="166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kern w:val="0"/>
                <w:sz w:val="18"/>
                <w:szCs w:val="18"/>
              </w:rPr>
            </w:pPr>
            <w:r>
              <w:rPr>
                <w:rFonts w:ascii="Times New Roman" w:hAnsi="Times New Roman" w:cs="Times New Roman"/>
                <w:bCs/>
                <w:kern w:val="0"/>
                <w:sz w:val="18"/>
                <w:szCs w:val="18"/>
              </w:rPr>
              <w:t>合计</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8,459,731,199.92</w:t>
            </w:r>
          </w:p>
        </w:tc>
        <w:tc>
          <w:tcPr>
            <w:tcW w:w="166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kern w:val="0"/>
                <w:sz w:val="18"/>
                <w:szCs w:val="18"/>
              </w:rPr>
            </w:pPr>
            <w:r>
              <w:rPr>
                <w:rFonts w:ascii="Times New Roman" w:hAnsi="Times New Roman" w:cs="Times New Roman"/>
                <w:bCs/>
                <w:kern w:val="0"/>
                <w:sz w:val="18"/>
                <w:szCs w:val="18"/>
              </w:rPr>
              <w:t>9,237,241,240.86</w:t>
            </w:r>
          </w:p>
        </w:tc>
      </w:tr>
    </w:tbl>
    <w:p w:rsidR="00403CD6" w:rsidRDefault="00E91A59">
      <w:pPr>
        <w:keepNext/>
        <w:keepLines/>
        <w:spacing w:before="300" w:after="300" w:line="280" w:lineRule="exact"/>
        <w:outlineLvl w:val="4"/>
        <w:rPr>
          <w:rFonts w:ascii="Times New Roman" w:eastAsia="宋体" w:hAnsi="Times New Roman" w:cs="Times New Roman"/>
          <w:b/>
          <w:bCs/>
          <w:sz w:val="18"/>
          <w:szCs w:val="18"/>
        </w:rPr>
      </w:pPr>
      <w:bookmarkStart w:id="188" w:name="_Toc989551"/>
      <w:r>
        <w:rPr>
          <w:rFonts w:ascii="Times New Roman" w:eastAsia="宋体" w:hAnsi="Times New Roman" w:cs="Times New Roman"/>
          <w:b/>
          <w:bCs/>
          <w:sz w:val="18"/>
          <w:szCs w:val="18"/>
        </w:rPr>
        <w:t>3</w:t>
      </w:r>
      <w:r>
        <w:rPr>
          <w:rFonts w:ascii="Times New Roman" w:eastAsia="宋体" w:hAnsi="Times New Roman" w:cs="Times New Roman"/>
          <w:b/>
          <w:bCs/>
          <w:sz w:val="18"/>
          <w:szCs w:val="18"/>
        </w:rPr>
        <w:t>）</w:t>
      </w:r>
      <w:r>
        <w:rPr>
          <w:rFonts w:ascii="Times New Roman" w:eastAsia="宋体" w:hAnsi="Times New Roman" w:cs="Times New Roman"/>
          <w:b/>
          <w:bCs/>
          <w:sz w:val="18"/>
          <w:szCs w:val="18"/>
        </w:rPr>
        <w:t xml:space="preserve"> </w:t>
      </w:r>
      <w:bookmarkEnd w:id="188"/>
      <w:r>
        <w:rPr>
          <w:rFonts w:ascii="Times New Roman" w:eastAsia="宋体" w:hAnsi="Times New Roman" w:cs="Times New Roman" w:hint="eastAsia"/>
          <w:b/>
          <w:bCs/>
          <w:sz w:val="18"/>
          <w:szCs w:val="18"/>
        </w:rPr>
        <w:t>坏账准备计提情况</w:t>
      </w:r>
    </w:p>
    <w:p w:rsidR="00403CD6" w:rsidRDefault="00E91A59">
      <w:pPr>
        <w:keepNext/>
        <w:widowControl/>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t>期末处于第一阶段的坏账准备</w:t>
      </w:r>
    </w:p>
    <w:tbl>
      <w:tblPr>
        <w:tblW w:w="5000" w:type="pct"/>
        <w:jc w:val="center"/>
        <w:tblBorders>
          <w:top w:val="single" w:sz="8" w:space="0" w:color="auto"/>
          <w:bottom w:val="single" w:sz="8" w:space="0" w:color="auto"/>
        </w:tblBorders>
        <w:tblCellMar>
          <w:left w:w="85" w:type="dxa"/>
          <w:right w:w="85" w:type="dxa"/>
        </w:tblCellMar>
        <w:tblLook w:val="04A0" w:firstRow="1" w:lastRow="0" w:firstColumn="1" w:lastColumn="0" w:noHBand="0" w:noVBand="1"/>
      </w:tblPr>
      <w:tblGrid>
        <w:gridCol w:w="3132"/>
        <w:gridCol w:w="1775"/>
        <w:gridCol w:w="1632"/>
        <w:gridCol w:w="1634"/>
        <w:gridCol w:w="1634"/>
      </w:tblGrid>
      <w:tr w:rsidR="00403CD6">
        <w:trPr>
          <w:cantSplit/>
          <w:trHeight w:val="284"/>
          <w:tblHeader/>
          <w:jc w:val="center"/>
        </w:trPr>
        <w:tc>
          <w:tcPr>
            <w:tcW w:w="15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right"/>
              <w:rPr>
                <w:rFonts w:ascii="Times New Roman" w:hAnsi="Times New Roman" w:cs="Times New Roman"/>
                <w:sz w:val="18"/>
                <w:szCs w:val="18"/>
              </w:rPr>
            </w:pPr>
            <w:r>
              <w:rPr>
                <w:rFonts w:ascii="Times New Roman" w:hAnsi="Times New Roman" w:cs="Times New Roman" w:hint="eastAsia"/>
                <w:sz w:val="18"/>
                <w:szCs w:val="18"/>
              </w:rPr>
              <w:t>单位：元</w:t>
            </w:r>
            <w:r>
              <w:rPr>
                <w:rFonts w:ascii="Times New Roman" w:hAnsi="Times New Roman" w:cs="Times New Roman"/>
                <w:sz w:val="18"/>
                <w:szCs w:val="18"/>
              </w:rPr>
              <w:t>类</w:t>
            </w:r>
            <w:r>
              <w:rPr>
                <w:rFonts w:ascii="Times New Roman" w:hAnsi="Times New Roman" w:cs="Times New Roman"/>
                <w:sz w:val="18"/>
                <w:szCs w:val="18"/>
              </w:rPr>
              <w:t xml:space="preserve"> </w:t>
            </w:r>
            <w:r>
              <w:rPr>
                <w:rFonts w:ascii="Times New Roman" w:hAnsi="Times New Roman" w:cs="Times New Roman"/>
                <w:sz w:val="18"/>
                <w:szCs w:val="18"/>
              </w:rPr>
              <w:t>别</w:t>
            </w:r>
          </w:p>
        </w:tc>
        <w:tc>
          <w:tcPr>
            <w:tcW w:w="90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账面余额</w:t>
            </w:r>
          </w:p>
        </w:tc>
        <w:tc>
          <w:tcPr>
            <w:tcW w:w="83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未来</w:t>
            </w:r>
            <w:r>
              <w:rPr>
                <w:rFonts w:ascii="Times New Roman" w:hAnsi="Times New Roman" w:cs="Times New Roman"/>
                <w:sz w:val="18"/>
                <w:szCs w:val="18"/>
              </w:rPr>
              <w:t>12</w:t>
            </w:r>
            <w:r>
              <w:rPr>
                <w:rFonts w:ascii="Times New Roman" w:hAnsi="Times New Roman" w:cs="Times New Roman"/>
                <w:sz w:val="18"/>
                <w:szCs w:val="18"/>
              </w:rPr>
              <w:t>个月内的预期信用损失率</w:t>
            </w:r>
            <w:r>
              <w:rPr>
                <w:rFonts w:ascii="Times New Roman" w:hAnsi="Times New Roman" w:cs="Times New Roman"/>
                <w:sz w:val="18"/>
                <w:szCs w:val="18"/>
              </w:rPr>
              <w:t>(%)</w:t>
            </w:r>
          </w:p>
        </w:tc>
        <w:tc>
          <w:tcPr>
            <w:tcW w:w="83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坏账准备</w:t>
            </w:r>
          </w:p>
        </w:tc>
        <w:tc>
          <w:tcPr>
            <w:tcW w:w="83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账面价值</w:t>
            </w:r>
          </w:p>
        </w:tc>
      </w:tr>
      <w:tr w:rsidR="00403CD6">
        <w:trPr>
          <w:cantSplit/>
          <w:trHeight w:val="284"/>
          <w:jc w:val="center"/>
        </w:trPr>
        <w:tc>
          <w:tcPr>
            <w:tcW w:w="159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按组合计提坏账准备</w:t>
            </w:r>
          </w:p>
        </w:tc>
        <w:tc>
          <w:tcPr>
            <w:tcW w:w="90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8,485,410,554.07</w:t>
            </w:r>
          </w:p>
        </w:tc>
        <w:tc>
          <w:tcPr>
            <w:tcW w:w="832"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 xml:space="preserve"> 0.32 </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26,930,069.45</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8,458,480,484.62</w:t>
            </w:r>
          </w:p>
        </w:tc>
      </w:tr>
      <w:tr w:rsidR="00403CD6">
        <w:trPr>
          <w:cantSplit/>
          <w:trHeight w:val="284"/>
          <w:jc w:val="center"/>
        </w:trPr>
        <w:tc>
          <w:tcPr>
            <w:tcW w:w="159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 xml:space="preserve">　应收政府机关款项</w:t>
            </w:r>
          </w:p>
        </w:tc>
        <w:tc>
          <w:tcPr>
            <w:tcW w:w="90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5,408,443.96</w:t>
            </w:r>
          </w:p>
        </w:tc>
        <w:tc>
          <w:tcPr>
            <w:tcW w:w="832"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 xml:space="preserve"> 5.91 </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319,526.28</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5,088,917.68</w:t>
            </w:r>
          </w:p>
        </w:tc>
      </w:tr>
      <w:tr w:rsidR="00403CD6">
        <w:trPr>
          <w:cantSplit/>
          <w:trHeight w:val="284"/>
          <w:jc w:val="center"/>
        </w:trPr>
        <w:tc>
          <w:tcPr>
            <w:tcW w:w="1597" w:type="pct"/>
            <w:tcBorders>
              <w:top w:val="single" w:sz="4" w:space="0" w:color="auto"/>
              <w:left w:val="single" w:sz="4" w:space="0" w:color="auto"/>
              <w:bottom w:val="single" w:sz="4" w:space="0" w:color="auto"/>
              <w:right w:val="single" w:sz="4" w:space="0" w:color="auto"/>
            </w:tcBorders>
            <w:vAlign w:val="center"/>
          </w:tcPr>
          <w:p w:rsidR="00403CD6" w:rsidRDefault="00E91A59">
            <w:pPr>
              <w:ind w:firstLineChars="100" w:firstLine="180"/>
              <w:rPr>
                <w:rFonts w:ascii="Times New Roman" w:hAnsi="Times New Roman" w:cs="Times New Roman"/>
                <w:sz w:val="18"/>
                <w:szCs w:val="18"/>
              </w:rPr>
            </w:pPr>
            <w:r>
              <w:rPr>
                <w:rFonts w:ascii="Times New Roman" w:hAnsi="Times New Roman" w:cs="Times New Roman"/>
                <w:sz w:val="18"/>
                <w:szCs w:val="18"/>
              </w:rPr>
              <w:t>应收关联方款项</w:t>
            </w:r>
          </w:p>
        </w:tc>
        <w:tc>
          <w:tcPr>
            <w:tcW w:w="90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8,462,533,948.96</w:t>
            </w:r>
          </w:p>
        </w:tc>
        <w:tc>
          <w:tcPr>
            <w:tcW w:w="832"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 xml:space="preserve"> 0.30 </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25,662,066.54</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8,436,871,882.42</w:t>
            </w:r>
          </w:p>
        </w:tc>
      </w:tr>
      <w:tr w:rsidR="00403CD6">
        <w:trPr>
          <w:cantSplit/>
          <w:trHeight w:val="284"/>
          <w:jc w:val="center"/>
        </w:trPr>
        <w:tc>
          <w:tcPr>
            <w:tcW w:w="159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 xml:space="preserve">　应收其他款项</w:t>
            </w:r>
          </w:p>
        </w:tc>
        <w:tc>
          <w:tcPr>
            <w:tcW w:w="90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17,468,161.15</w:t>
            </w:r>
          </w:p>
        </w:tc>
        <w:tc>
          <w:tcPr>
            <w:tcW w:w="832"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 xml:space="preserve"> 5.43 </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948,476.63</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kern w:val="0"/>
                <w:sz w:val="18"/>
                <w:szCs w:val="18"/>
              </w:rPr>
            </w:pPr>
            <w:r>
              <w:rPr>
                <w:rFonts w:ascii="Times New Roman" w:hAnsi="Times New Roman" w:cs="Times New Roman"/>
                <w:kern w:val="0"/>
                <w:sz w:val="18"/>
                <w:szCs w:val="18"/>
              </w:rPr>
              <w:t>16,519,684.52</w:t>
            </w:r>
          </w:p>
        </w:tc>
      </w:tr>
      <w:tr w:rsidR="00403CD6">
        <w:trPr>
          <w:cantSplit/>
          <w:trHeight w:val="284"/>
          <w:jc w:val="center"/>
        </w:trPr>
        <w:tc>
          <w:tcPr>
            <w:tcW w:w="15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color w:val="000000"/>
                <w:kern w:val="0"/>
                <w:sz w:val="18"/>
                <w:szCs w:val="18"/>
              </w:rPr>
            </w:pPr>
            <w:r>
              <w:rPr>
                <w:rFonts w:ascii="Times New Roman" w:hAnsi="Times New Roman" w:cs="Times New Roman"/>
                <w:color w:val="000000"/>
                <w:kern w:val="0"/>
                <w:sz w:val="18"/>
                <w:szCs w:val="18"/>
              </w:rPr>
              <w:t>合计</w:t>
            </w:r>
          </w:p>
        </w:tc>
        <w:tc>
          <w:tcPr>
            <w:tcW w:w="90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8,485,410,554.07</w:t>
            </w:r>
          </w:p>
        </w:tc>
        <w:tc>
          <w:tcPr>
            <w:tcW w:w="832"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0.32</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26,930,069.45</w:t>
            </w:r>
          </w:p>
        </w:tc>
        <w:tc>
          <w:tcPr>
            <w:tcW w:w="83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8,458,480,484.62</w:t>
            </w:r>
          </w:p>
        </w:tc>
      </w:tr>
    </w:tbl>
    <w:p w:rsidR="00403CD6" w:rsidRDefault="00E91A59">
      <w:pPr>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t>期末，本公司不存在处于第二阶段的应收利息、应收股利和其他应收款</w:t>
      </w:r>
    </w:p>
    <w:p w:rsidR="00403CD6" w:rsidRDefault="00E91A59">
      <w:pPr>
        <w:keepNext/>
        <w:widowControl/>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t>期末处于第三阶段的坏账准备</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hint="eastAsia"/>
          <w:sz w:val="18"/>
          <w:szCs w:val="18"/>
        </w:rPr>
        <w:t>单位：元</w:t>
      </w:r>
    </w:p>
    <w:tbl>
      <w:tblPr>
        <w:tblW w:w="5002" w:type="pct"/>
        <w:jc w:val="center"/>
        <w:tblBorders>
          <w:top w:val="single" w:sz="8" w:space="0" w:color="auto"/>
          <w:bottom w:val="single" w:sz="8" w:space="0" w:color="auto"/>
        </w:tblBorders>
        <w:tblCellMar>
          <w:left w:w="85" w:type="dxa"/>
          <w:right w:w="85" w:type="dxa"/>
        </w:tblCellMar>
        <w:tblLook w:val="04A0" w:firstRow="1" w:lastRow="0" w:firstColumn="1" w:lastColumn="0" w:noHBand="0" w:noVBand="1"/>
      </w:tblPr>
      <w:tblGrid>
        <w:gridCol w:w="3160"/>
        <w:gridCol w:w="1659"/>
        <w:gridCol w:w="1661"/>
        <w:gridCol w:w="1661"/>
        <w:gridCol w:w="1670"/>
      </w:tblGrid>
      <w:tr w:rsidR="00403CD6">
        <w:trPr>
          <w:cantSplit/>
          <w:trHeight w:val="284"/>
          <w:tblHeader/>
          <w:jc w:val="center"/>
        </w:trPr>
        <w:tc>
          <w:tcPr>
            <w:tcW w:w="16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类别</w:t>
            </w:r>
          </w:p>
        </w:tc>
        <w:tc>
          <w:tcPr>
            <w:tcW w:w="84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账面余额</w:t>
            </w:r>
          </w:p>
        </w:tc>
        <w:tc>
          <w:tcPr>
            <w:tcW w:w="8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整个存续期预期信用损失率（</w:t>
            </w:r>
            <w:r>
              <w:rPr>
                <w:rFonts w:ascii="Times New Roman" w:hAnsi="Times New Roman" w:cs="Times New Roman"/>
                <w:sz w:val="18"/>
                <w:szCs w:val="18"/>
              </w:rPr>
              <w:t>%</w:t>
            </w:r>
            <w:r>
              <w:rPr>
                <w:rFonts w:ascii="Times New Roman" w:hAnsi="Times New Roman" w:cs="Times New Roman"/>
                <w:sz w:val="18"/>
                <w:szCs w:val="18"/>
              </w:rPr>
              <w:t>）</w:t>
            </w:r>
          </w:p>
        </w:tc>
        <w:tc>
          <w:tcPr>
            <w:tcW w:w="8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坏账准备</w:t>
            </w:r>
          </w:p>
        </w:tc>
        <w:tc>
          <w:tcPr>
            <w:tcW w:w="8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账面价值</w:t>
            </w:r>
          </w:p>
        </w:tc>
      </w:tr>
      <w:tr w:rsidR="00403CD6">
        <w:trPr>
          <w:cantSplit/>
          <w:trHeight w:val="284"/>
          <w:jc w:val="center"/>
        </w:trPr>
        <w:tc>
          <w:tcPr>
            <w:tcW w:w="1610"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按单项计提坏账准备</w:t>
            </w:r>
          </w:p>
        </w:tc>
        <w:tc>
          <w:tcPr>
            <w:tcW w:w="84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68,711,903.60</w:t>
            </w:r>
          </w:p>
        </w:tc>
        <w:tc>
          <w:tcPr>
            <w:tcW w:w="846"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98.18 </w:t>
            </w:r>
          </w:p>
        </w:tc>
        <w:tc>
          <w:tcPr>
            <w:tcW w:w="846"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67,461,188.30</w:t>
            </w:r>
          </w:p>
        </w:tc>
        <w:tc>
          <w:tcPr>
            <w:tcW w:w="8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1,250,715.30</w:t>
            </w:r>
          </w:p>
        </w:tc>
      </w:tr>
      <w:tr w:rsidR="00403CD6">
        <w:trPr>
          <w:cantSplit/>
          <w:trHeight w:val="284"/>
          <w:jc w:val="center"/>
        </w:trPr>
        <w:tc>
          <w:tcPr>
            <w:tcW w:w="16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color w:val="000000"/>
                <w:kern w:val="0"/>
                <w:sz w:val="18"/>
                <w:szCs w:val="18"/>
              </w:rPr>
            </w:pPr>
            <w:r>
              <w:rPr>
                <w:rFonts w:ascii="Times New Roman" w:hAnsi="Times New Roman" w:cs="Times New Roman"/>
                <w:color w:val="000000"/>
                <w:kern w:val="0"/>
                <w:sz w:val="18"/>
                <w:szCs w:val="18"/>
              </w:rPr>
              <w:t>合计</w:t>
            </w:r>
          </w:p>
        </w:tc>
        <w:tc>
          <w:tcPr>
            <w:tcW w:w="845"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68,711,903.60</w:t>
            </w:r>
          </w:p>
        </w:tc>
        <w:tc>
          <w:tcPr>
            <w:tcW w:w="846"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98.18 </w:t>
            </w:r>
          </w:p>
        </w:tc>
        <w:tc>
          <w:tcPr>
            <w:tcW w:w="846"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67,461,188.30</w:t>
            </w:r>
          </w:p>
        </w:tc>
        <w:tc>
          <w:tcPr>
            <w:tcW w:w="8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1,250,715.30</w:t>
            </w:r>
          </w:p>
        </w:tc>
      </w:tr>
    </w:tbl>
    <w:p w:rsidR="00403CD6" w:rsidRDefault="00E91A59">
      <w:pPr>
        <w:keepNext/>
        <w:widowControl/>
        <w:snapToGrid w:val="0"/>
        <w:spacing w:beforeLines="50" w:before="156" w:afterLines="90" w:after="280"/>
        <w:rPr>
          <w:rFonts w:asciiTheme="minorEastAsia" w:hAnsiTheme="minorEastAsia" w:cstheme="minorEastAsia"/>
          <w:sz w:val="18"/>
          <w:szCs w:val="18"/>
        </w:rPr>
      </w:pPr>
      <w:r>
        <w:rPr>
          <w:rFonts w:asciiTheme="minorEastAsia" w:hAnsiTheme="minorEastAsia" w:cstheme="minorEastAsia" w:hint="eastAsia"/>
          <w:sz w:val="18"/>
          <w:szCs w:val="18"/>
        </w:rPr>
        <w:lastRenderedPageBreak/>
        <w:t>按单项计提坏账准备：</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hint="eastAsia"/>
          <w:sz w:val="18"/>
          <w:szCs w:val="18"/>
        </w:rPr>
        <w:t>单位：元</w:t>
      </w:r>
    </w:p>
    <w:tbl>
      <w:tblPr>
        <w:tblW w:w="5002" w:type="pct"/>
        <w:jc w:val="center"/>
        <w:tblBorders>
          <w:top w:val="single" w:sz="8" w:space="0" w:color="auto"/>
          <w:bottom w:val="single" w:sz="8" w:space="0" w:color="auto"/>
        </w:tblBorders>
        <w:tblCellMar>
          <w:left w:w="85" w:type="dxa"/>
          <w:right w:w="85" w:type="dxa"/>
        </w:tblCellMar>
        <w:tblLook w:val="04A0" w:firstRow="1" w:lastRow="0" w:firstColumn="1" w:lastColumn="0" w:noHBand="0" w:noVBand="1"/>
      </w:tblPr>
      <w:tblGrid>
        <w:gridCol w:w="2781"/>
        <w:gridCol w:w="1276"/>
        <w:gridCol w:w="1134"/>
        <w:gridCol w:w="1275"/>
        <w:gridCol w:w="1134"/>
        <w:gridCol w:w="2211"/>
      </w:tblGrid>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类别</w:t>
            </w:r>
          </w:p>
        </w:tc>
        <w:tc>
          <w:tcPr>
            <w:tcW w:w="6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账面余额</w:t>
            </w:r>
          </w:p>
        </w:tc>
        <w:tc>
          <w:tcPr>
            <w:tcW w:w="5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整个存续期预期信用损失率（</w:t>
            </w:r>
            <w:r>
              <w:rPr>
                <w:rFonts w:ascii="Times New Roman" w:hAnsi="Times New Roman" w:cs="Times New Roman"/>
                <w:sz w:val="18"/>
                <w:szCs w:val="18"/>
              </w:rPr>
              <w:t>%</w:t>
            </w:r>
            <w:r>
              <w:rPr>
                <w:rFonts w:ascii="Times New Roman" w:hAnsi="Times New Roman" w:cs="Times New Roman"/>
                <w:sz w:val="18"/>
                <w:szCs w:val="18"/>
              </w:rPr>
              <w:t>）</w:t>
            </w:r>
          </w:p>
        </w:tc>
        <w:tc>
          <w:tcPr>
            <w:tcW w:w="6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坏账准备</w:t>
            </w:r>
          </w:p>
        </w:tc>
        <w:tc>
          <w:tcPr>
            <w:tcW w:w="5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账面价值</w:t>
            </w:r>
          </w:p>
        </w:tc>
        <w:tc>
          <w:tcPr>
            <w:tcW w:w="112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sz w:val="18"/>
                <w:szCs w:val="18"/>
              </w:rPr>
            </w:pPr>
            <w:r>
              <w:rPr>
                <w:rFonts w:ascii="Times New Roman" w:hAnsi="Times New Roman" w:cs="Times New Roman"/>
                <w:sz w:val="18"/>
                <w:szCs w:val="18"/>
              </w:rPr>
              <w:t>理由</w:t>
            </w:r>
          </w:p>
        </w:tc>
      </w:tr>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客户</w:t>
            </w:r>
            <w:proofErr w:type="gramStart"/>
            <w:r>
              <w:rPr>
                <w:rFonts w:ascii="Times New Roman" w:hAnsi="Times New Roman" w:cs="Times New Roman" w:hint="eastAsia"/>
                <w:sz w:val="18"/>
                <w:szCs w:val="18"/>
              </w:rPr>
              <w:t>一</w:t>
            </w:r>
            <w:proofErr w:type="gramEnd"/>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2,844,459.53</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100.00 </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2,844,459.53</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sz w:val="18"/>
                <w:szCs w:val="18"/>
              </w:rPr>
            </w:pPr>
          </w:p>
        </w:tc>
        <w:tc>
          <w:tcPr>
            <w:tcW w:w="112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收回具有一定不确定性</w:t>
            </w:r>
          </w:p>
        </w:tc>
      </w:tr>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客户二</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1,290,901.12</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100.00 </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1,290,901.12</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sz w:val="18"/>
                <w:szCs w:val="18"/>
              </w:rPr>
            </w:pPr>
          </w:p>
        </w:tc>
        <w:tc>
          <w:tcPr>
            <w:tcW w:w="112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收回具有一定不确定性</w:t>
            </w:r>
          </w:p>
        </w:tc>
      </w:tr>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客户三</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760,073.40</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100.00 </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760,073.40</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sz w:val="18"/>
                <w:szCs w:val="18"/>
              </w:rPr>
            </w:pPr>
          </w:p>
        </w:tc>
        <w:tc>
          <w:tcPr>
            <w:tcW w:w="112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收回具有一定不确定性</w:t>
            </w:r>
          </w:p>
        </w:tc>
      </w:tr>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客户四等</w:t>
            </w:r>
            <w:r>
              <w:rPr>
                <w:rFonts w:ascii="Times New Roman" w:hAnsi="Times New Roman" w:cs="Times New Roman"/>
                <w:sz w:val="18"/>
                <w:szCs w:val="18"/>
              </w:rPr>
              <w:t>25</w:t>
            </w:r>
            <w:r>
              <w:rPr>
                <w:rFonts w:ascii="Times New Roman" w:hAnsi="Times New Roman" w:cs="Times New Roman"/>
                <w:sz w:val="18"/>
                <w:szCs w:val="18"/>
              </w:rPr>
              <w:t>家客户</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63,816,469.55</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 98.04 </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62,565,754.25</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1,250,715.30</w:t>
            </w:r>
          </w:p>
        </w:tc>
        <w:tc>
          <w:tcPr>
            <w:tcW w:w="1127"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收回具有一定不确定性</w:t>
            </w:r>
          </w:p>
        </w:tc>
      </w:tr>
      <w:tr w:rsidR="00403CD6">
        <w:trPr>
          <w:cantSplit/>
          <w:trHeight w:val="284"/>
          <w:jc w:val="center"/>
        </w:trPr>
        <w:tc>
          <w:tcPr>
            <w:tcW w:w="141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adjustRightInd w:val="0"/>
              <w:snapToGrid w:val="0"/>
              <w:jc w:val="center"/>
              <w:rPr>
                <w:rFonts w:ascii="Times New Roman" w:hAnsi="Times New Roman" w:cs="Times New Roman"/>
                <w:kern w:val="0"/>
                <w:sz w:val="18"/>
                <w:szCs w:val="18"/>
              </w:rPr>
            </w:pPr>
            <w:r>
              <w:rPr>
                <w:rFonts w:ascii="Times New Roman" w:hAnsi="Times New Roman" w:cs="Times New Roman"/>
                <w:kern w:val="0"/>
                <w:sz w:val="18"/>
                <w:szCs w:val="18"/>
              </w:rPr>
              <w:t>合计</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68,711,903.60</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98.18</w:t>
            </w:r>
          </w:p>
        </w:tc>
        <w:tc>
          <w:tcPr>
            <w:tcW w:w="650"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67,461,188.30</w:t>
            </w:r>
          </w:p>
        </w:tc>
        <w:tc>
          <w:tcPr>
            <w:tcW w:w="578"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1,250,715.30</w:t>
            </w:r>
          </w:p>
        </w:tc>
        <w:tc>
          <w:tcPr>
            <w:tcW w:w="1127"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sz w:val="18"/>
                <w:szCs w:val="18"/>
              </w:rPr>
            </w:pPr>
          </w:p>
        </w:tc>
      </w:tr>
    </w:tbl>
    <w:p w:rsidR="00403CD6" w:rsidRDefault="00E91A59">
      <w:pPr>
        <w:keepNext/>
        <w:keepLines/>
        <w:spacing w:before="300" w:after="300" w:line="280" w:lineRule="exact"/>
        <w:outlineLvl w:val="4"/>
        <w:rPr>
          <w:rFonts w:ascii="Times New Roman" w:eastAsia="宋体" w:hAnsi="Times New Roman" w:cs="Times New Roman"/>
          <w:b/>
          <w:bCs/>
          <w:sz w:val="18"/>
          <w:szCs w:val="18"/>
        </w:rPr>
      </w:pPr>
      <w:r>
        <w:rPr>
          <w:rFonts w:ascii="Times New Roman" w:eastAsia="宋体" w:hAnsi="Times New Roman" w:cs="Times New Roman" w:hint="eastAsia"/>
          <w:b/>
          <w:bCs/>
          <w:sz w:val="18"/>
          <w:szCs w:val="18"/>
        </w:rPr>
        <w:t>4</w:t>
      </w:r>
      <w:r>
        <w:rPr>
          <w:rFonts w:ascii="Times New Roman" w:eastAsia="宋体" w:hAnsi="Times New Roman" w:cs="Times New Roman" w:hint="eastAsia"/>
          <w:b/>
          <w:bCs/>
          <w:sz w:val="18"/>
          <w:szCs w:val="18"/>
        </w:rPr>
        <w:t>）</w:t>
      </w:r>
      <w:r>
        <w:rPr>
          <w:rFonts w:ascii="Times New Roman" w:eastAsia="宋体" w:hAnsi="Times New Roman" w:cs="Times New Roman" w:hint="eastAsia"/>
          <w:b/>
          <w:bCs/>
          <w:sz w:val="18"/>
          <w:szCs w:val="18"/>
        </w:rPr>
        <w:t xml:space="preserve"> </w:t>
      </w:r>
      <w:r>
        <w:rPr>
          <w:rFonts w:ascii="Times New Roman" w:eastAsia="宋体" w:hAnsi="Times New Roman" w:cs="Times New Roman" w:hint="eastAsia"/>
          <w:b/>
          <w:bCs/>
          <w:sz w:val="18"/>
          <w:szCs w:val="18"/>
        </w:rPr>
        <w:t>本期计提、收回或转回的坏账准备情况</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hint="eastAsia"/>
          <w:sz w:val="18"/>
          <w:szCs w:val="18"/>
        </w:rPr>
        <w:t>单位：元</w:t>
      </w:r>
    </w:p>
    <w:tbl>
      <w:tblPr>
        <w:tblW w:w="5000" w:type="pct"/>
        <w:jc w:val="center"/>
        <w:tblBorders>
          <w:top w:val="single" w:sz="8" w:space="0" w:color="auto"/>
          <w:bottom w:val="single" w:sz="8" w:space="0" w:color="auto"/>
        </w:tblBorders>
        <w:tblLayout w:type="fixed"/>
        <w:tblCellMar>
          <w:left w:w="85" w:type="dxa"/>
          <w:right w:w="85" w:type="dxa"/>
        </w:tblCellMar>
        <w:tblLook w:val="04A0" w:firstRow="1" w:lastRow="0" w:firstColumn="1" w:lastColumn="0" w:noHBand="0" w:noVBand="1"/>
      </w:tblPr>
      <w:tblGrid>
        <w:gridCol w:w="2354"/>
        <w:gridCol w:w="1844"/>
        <w:gridCol w:w="2269"/>
        <w:gridCol w:w="1983"/>
        <w:gridCol w:w="1357"/>
      </w:tblGrid>
      <w:tr w:rsidR="00403CD6">
        <w:trPr>
          <w:cantSplit/>
          <w:trHeight w:val="284"/>
          <w:jc w:val="center"/>
        </w:trPr>
        <w:tc>
          <w:tcPr>
            <w:tcW w:w="1200"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坏账准备</w:t>
            </w:r>
          </w:p>
        </w:tc>
        <w:tc>
          <w:tcPr>
            <w:tcW w:w="940"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第一阶段</w:t>
            </w:r>
          </w:p>
        </w:tc>
        <w:tc>
          <w:tcPr>
            <w:tcW w:w="1157"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第二阶段</w:t>
            </w:r>
          </w:p>
        </w:tc>
        <w:tc>
          <w:tcPr>
            <w:tcW w:w="1011"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第三阶段</w:t>
            </w:r>
          </w:p>
        </w:tc>
        <w:tc>
          <w:tcPr>
            <w:tcW w:w="692"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合计</w:t>
            </w:r>
          </w:p>
        </w:tc>
      </w:tr>
      <w:tr w:rsidR="00403CD6">
        <w:trPr>
          <w:cantSplit/>
          <w:trHeight w:val="284"/>
          <w:jc w:val="center"/>
        </w:trPr>
        <w:tc>
          <w:tcPr>
            <w:tcW w:w="1200"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403CD6">
            <w:pPr>
              <w:adjustRightInd w:val="0"/>
              <w:snapToGrid w:val="0"/>
              <w:jc w:val="center"/>
              <w:rPr>
                <w:rFonts w:ascii="Times New Roman" w:hAnsi="Times New Roman" w:cs="Times New Roman"/>
                <w:sz w:val="18"/>
                <w:szCs w:val="18"/>
              </w:rPr>
            </w:pPr>
          </w:p>
        </w:tc>
        <w:tc>
          <w:tcPr>
            <w:tcW w:w="940"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未来</w:t>
            </w:r>
            <w:r>
              <w:rPr>
                <w:rFonts w:ascii="Times New Roman" w:hAnsi="Times New Roman" w:cs="Times New Roman"/>
                <w:sz w:val="18"/>
                <w:szCs w:val="18"/>
              </w:rPr>
              <w:t>12</w:t>
            </w:r>
            <w:r>
              <w:rPr>
                <w:rFonts w:ascii="Times New Roman" w:hAnsi="Times New Roman" w:cs="Times New Roman"/>
                <w:sz w:val="18"/>
                <w:szCs w:val="18"/>
              </w:rPr>
              <w:t>个月预期信用损失</w:t>
            </w:r>
          </w:p>
        </w:tc>
        <w:tc>
          <w:tcPr>
            <w:tcW w:w="1157"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整个存续期预期信用损失</w:t>
            </w:r>
            <w:r>
              <w:rPr>
                <w:rFonts w:ascii="Times New Roman" w:hAnsi="Times New Roman" w:cs="Times New Roman"/>
                <w:sz w:val="18"/>
                <w:szCs w:val="18"/>
              </w:rPr>
              <w:t>(</w:t>
            </w:r>
            <w:r>
              <w:rPr>
                <w:rFonts w:ascii="Times New Roman" w:hAnsi="Times New Roman" w:cs="Times New Roman"/>
                <w:sz w:val="18"/>
                <w:szCs w:val="18"/>
              </w:rPr>
              <w:t>未发生信用减值</w:t>
            </w:r>
            <w:r>
              <w:rPr>
                <w:rFonts w:ascii="Times New Roman" w:hAnsi="Times New Roman" w:cs="Times New Roman"/>
                <w:sz w:val="18"/>
                <w:szCs w:val="18"/>
              </w:rPr>
              <w:t>)</w:t>
            </w:r>
          </w:p>
        </w:tc>
        <w:tc>
          <w:tcPr>
            <w:tcW w:w="1011"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E91A59">
            <w:pPr>
              <w:adjustRightInd w:val="0"/>
              <w:snapToGrid w:val="0"/>
              <w:jc w:val="center"/>
              <w:rPr>
                <w:rFonts w:ascii="Times New Roman" w:hAnsi="Times New Roman" w:cs="Times New Roman"/>
                <w:sz w:val="18"/>
                <w:szCs w:val="18"/>
              </w:rPr>
            </w:pPr>
            <w:r>
              <w:rPr>
                <w:rFonts w:ascii="Times New Roman" w:hAnsi="Times New Roman" w:cs="Times New Roman"/>
                <w:sz w:val="18"/>
                <w:szCs w:val="18"/>
              </w:rPr>
              <w:t>整个存续期预期信用损失</w:t>
            </w:r>
            <w:r>
              <w:rPr>
                <w:rFonts w:ascii="Times New Roman" w:hAnsi="Times New Roman" w:cs="Times New Roman"/>
                <w:sz w:val="18"/>
                <w:szCs w:val="18"/>
              </w:rPr>
              <w:t>(</w:t>
            </w:r>
            <w:r>
              <w:rPr>
                <w:rFonts w:ascii="Times New Roman" w:hAnsi="Times New Roman" w:cs="Times New Roman"/>
                <w:sz w:val="18"/>
                <w:szCs w:val="18"/>
              </w:rPr>
              <w:t>已发生信用减值</w:t>
            </w:r>
            <w:r>
              <w:rPr>
                <w:rFonts w:ascii="Times New Roman" w:hAnsi="Times New Roman" w:cs="Times New Roman"/>
                <w:sz w:val="18"/>
                <w:szCs w:val="18"/>
              </w:rPr>
              <w:t>)</w:t>
            </w:r>
          </w:p>
        </w:tc>
        <w:tc>
          <w:tcPr>
            <w:tcW w:w="692"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403CD6" w:rsidRDefault="00403CD6">
            <w:pPr>
              <w:adjustRightInd w:val="0"/>
              <w:snapToGrid w:val="0"/>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color w:val="000000"/>
                <w:kern w:val="0"/>
                <w:sz w:val="18"/>
                <w:szCs w:val="18"/>
              </w:rPr>
              <w:t>期初</w:t>
            </w:r>
            <w:r>
              <w:rPr>
                <w:rFonts w:ascii="Times New Roman" w:hAnsi="Times New Roman" w:cs="Times New Roman"/>
                <w:sz w:val="18"/>
                <w:szCs w:val="18"/>
              </w:rPr>
              <w:t>余额</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41,856,357.86</w:t>
            </w: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50,093,970.67</w:t>
            </w: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91,950,328.53</w:t>
            </w: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color w:val="000000"/>
                <w:kern w:val="0"/>
                <w:sz w:val="18"/>
                <w:szCs w:val="18"/>
              </w:rPr>
              <w:t>期初</w:t>
            </w:r>
            <w:r>
              <w:rPr>
                <w:rFonts w:ascii="Times New Roman" w:hAnsi="Times New Roman" w:cs="Times New Roman"/>
                <w:sz w:val="18"/>
                <w:szCs w:val="18"/>
              </w:rPr>
              <w:t>余额在本期</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wordWrap w:val="0"/>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t>转入第二阶段</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t>转入第三阶段</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t>转回第二阶段</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sz w:val="18"/>
                <w:szCs w:val="18"/>
              </w:rPr>
              <w:t>转回第一阶段</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本期计提</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17,367,217.63</w:t>
            </w: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17,367,217.63</w:t>
            </w: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本期转回</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14,926,288.41</w:t>
            </w: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14,926,288.41</w:t>
            </w: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本期转销</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本期核销</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其他变动</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r>
      <w:tr w:rsidR="00403CD6">
        <w:trPr>
          <w:cantSplit/>
          <w:trHeight w:val="284"/>
          <w:jc w:val="center"/>
        </w:trPr>
        <w:tc>
          <w:tcPr>
            <w:tcW w:w="12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adjustRightInd w:val="0"/>
              <w:snapToGrid w:val="0"/>
              <w:rPr>
                <w:rFonts w:ascii="Times New Roman" w:hAnsi="Times New Roman" w:cs="Times New Roman"/>
                <w:sz w:val="18"/>
                <w:szCs w:val="18"/>
              </w:rPr>
            </w:pPr>
            <w:r>
              <w:rPr>
                <w:rFonts w:ascii="Times New Roman" w:hAnsi="Times New Roman" w:cs="Times New Roman"/>
                <w:sz w:val="18"/>
                <w:szCs w:val="18"/>
              </w:rPr>
              <w:t>期末余额</w:t>
            </w:r>
          </w:p>
        </w:tc>
        <w:tc>
          <w:tcPr>
            <w:tcW w:w="9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26,930,069.45</w:t>
            </w:r>
          </w:p>
        </w:tc>
        <w:tc>
          <w:tcPr>
            <w:tcW w:w="11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403CD6">
            <w:pPr>
              <w:jc w:val="right"/>
              <w:rPr>
                <w:rFonts w:ascii="Times New Roman" w:hAnsi="Times New Roman" w:cs="Times New Roman"/>
                <w:sz w:val="18"/>
                <w:szCs w:val="18"/>
              </w:rPr>
            </w:pPr>
          </w:p>
        </w:tc>
        <w:tc>
          <w:tcPr>
            <w:tcW w:w="1011"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67,461,188.30</w:t>
            </w:r>
          </w:p>
        </w:tc>
        <w:tc>
          <w:tcPr>
            <w:tcW w:w="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94,391,257.75</w:t>
            </w:r>
          </w:p>
        </w:tc>
      </w:tr>
    </w:tbl>
    <w:p w:rsidR="00403CD6" w:rsidRDefault="00E91A59">
      <w:pPr>
        <w:keepNext/>
        <w:keepLines/>
        <w:numPr>
          <w:ilvl w:val="0"/>
          <w:numId w:val="7"/>
        </w:numPr>
        <w:spacing w:before="300" w:after="300" w:line="280" w:lineRule="exact"/>
        <w:outlineLvl w:val="4"/>
        <w:rPr>
          <w:rFonts w:ascii="宋体" w:eastAsia="宋体" w:hAnsi="宋体" w:cs="宋体"/>
          <w:b/>
          <w:bCs/>
          <w:sz w:val="18"/>
          <w:szCs w:val="18"/>
        </w:rPr>
      </w:pPr>
      <w:r>
        <w:rPr>
          <w:rFonts w:ascii="宋体" w:eastAsia="宋体" w:hAnsi="宋体" w:cs="宋体" w:hint="eastAsia"/>
          <w:b/>
          <w:bCs/>
          <w:sz w:val="18"/>
          <w:szCs w:val="18"/>
        </w:rPr>
        <w:t>按欠款方归集的期末余额前五名的其他应收款情况</w:t>
      </w:r>
    </w:p>
    <w:p w:rsidR="00403CD6" w:rsidRDefault="00E91A59">
      <w:pPr>
        <w:ind w:firstLineChars="200" w:firstLine="360"/>
        <w:rPr>
          <w:rFonts w:ascii="Times New Roman" w:hAnsi="Times New Roman" w:cs="Times New Roman"/>
          <w:kern w:val="0"/>
          <w:sz w:val="18"/>
          <w:szCs w:val="18"/>
        </w:rPr>
      </w:pPr>
      <w:r>
        <w:rPr>
          <w:rFonts w:ascii="Times New Roman" w:hAnsi="Times New Roman" w:cs="Times New Roman"/>
          <w:kern w:val="0"/>
          <w:sz w:val="18"/>
          <w:szCs w:val="18"/>
        </w:rPr>
        <w:t>本期按欠款方归集的期末余额前五名其他应收款汇总金额</w:t>
      </w:r>
      <w:r>
        <w:rPr>
          <w:rFonts w:ascii="Times New Roman" w:hAnsi="Times New Roman" w:cs="Times New Roman"/>
          <w:kern w:val="0"/>
          <w:sz w:val="18"/>
          <w:szCs w:val="18"/>
        </w:rPr>
        <w:t>6,407,070,531.27</w:t>
      </w:r>
      <w:r>
        <w:rPr>
          <w:rFonts w:ascii="Times New Roman" w:hAnsi="Times New Roman" w:cs="Times New Roman"/>
          <w:kern w:val="0"/>
          <w:sz w:val="18"/>
          <w:szCs w:val="18"/>
        </w:rPr>
        <w:t>元，占其他应收款期末余额合计数的比例</w:t>
      </w:r>
      <w:r>
        <w:rPr>
          <w:rFonts w:ascii="Times New Roman" w:hAnsi="Times New Roman" w:cs="Times New Roman"/>
          <w:kern w:val="0"/>
          <w:sz w:val="18"/>
          <w:szCs w:val="18"/>
        </w:rPr>
        <w:t>74.90%</w:t>
      </w:r>
      <w:r>
        <w:rPr>
          <w:rFonts w:ascii="Times New Roman" w:hAnsi="Times New Roman" w:cs="Times New Roman"/>
          <w:kern w:val="0"/>
          <w:sz w:val="18"/>
          <w:szCs w:val="18"/>
        </w:rPr>
        <w:t>，相应计提的坏账准备期末余额汇总金额</w:t>
      </w:r>
      <w:r>
        <w:rPr>
          <w:rFonts w:ascii="Times New Roman" w:hAnsi="Times New Roman" w:cs="Times New Roman"/>
          <w:kern w:val="0"/>
          <w:sz w:val="18"/>
          <w:szCs w:val="18"/>
        </w:rPr>
        <w:t>0.00</w:t>
      </w:r>
      <w:r>
        <w:rPr>
          <w:rFonts w:ascii="Times New Roman" w:hAnsi="Times New Roman" w:cs="Times New Roman"/>
          <w:kern w:val="0"/>
          <w:sz w:val="18"/>
          <w:szCs w:val="18"/>
        </w:rPr>
        <w:t>元。</w:t>
      </w:r>
    </w:p>
    <w:p w:rsidR="00403CD6" w:rsidRDefault="00E91A59">
      <w:pPr>
        <w:jc w:val="right"/>
        <w:rPr>
          <w:rFonts w:ascii="Arial Narrow" w:eastAsia="仿宋_GB2312" w:hAnsi="Arial Narrow" w:cs="宋体"/>
          <w:kern w:val="0"/>
          <w:sz w:val="24"/>
          <w:szCs w:val="24"/>
        </w:rPr>
      </w:pPr>
      <w:r>
        <w:rPr>
          <w:rFonts w:ascii="Times New Roman" w:hAnsi="Times New Roman" w:cs="Times New Roman"/>
          <w:sz w:val="18"/>
          <w:szCs w:val="18"/>
        </w:rPr>
        <w:t>单位：元</w:t>
      </w:r>
    </w:p>
    <w:tbl>
      <w:tblPr>
        <w:tblW w:w="5000" w:type="pct"/>
        <w:jc w:val="center"/>
        <w:tblBorders>
          <w:top w:val="single" w:sz="4" w:space="0" w:color="auto"/>
          <w:bottom w:val="single" w:sz="4" w:space="0" w:color="auto"/>
        </w:tblBorders>
        <w:tblLook w:val="04A0" w:firstRow="1" w:lastRow="0" w:firstColumn="1" w:lastColumn="0" w:noHBand="0" w:noVBand="1"/>
      </w:tblPr>
      <w:tblGrid>
        <w:gridCol w:w="2516"/>
        <w:gridCol w:w="1247"/>
        <w:gridCol w:w="1799"/>
        <w:gridCol w:w="1240"/>
        <w:gridCol w:w="1624"/>
        <w:gridCol w:w="1427"/>
      </w:tblGrid>
      <w:tr w:rsidR="00403CD6">
        <w:trPr>
          <w:cantSplit/>
          <w:trHeight w:val="284"/>
          <w:tblHeader/>
          <w:jc w:val="center"/>
        </w:trPr>
        <w:tc>
          <w:tcPr>
            <w:tcW w:w="127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ind w:leftChars="-101" w:left="-212" w:firstLineChars="88" w:firstLine="158"/>
              <w:jc w:val="center"/>
              <w:rPr>
                <w:rFonts w:ascii="Times New Roman" w:hAnsi="Times New Roman" w:cs="Times New Roman"/>
                <w:bCs/>
                <w:sz w:val="18"/>
                <w:szCs w:val="18"/>
              </w:rPr>
            </w:pPr>
            <w:r>
              <w:rPr>
                <w:rFonts w:ascii="Times New Roman" w:hAnsi="Times New Roman" w:cs="Times New Roman"/>
                <w:bCs/>
                <w:sz w:val="18"/>
                <w:szCs w:val="18"/>
              </w:rPr>
              <w:t>单位名称</w:t>
            </w:r>
          </w:p>
        </w:tc>
        <w:tc>
          <w:tcPr>
            <w:tcW w:w="63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款项性质</w:t>
            </w:r>
          </w:p>
        </w:tc>
        <w:tc>
          <w:tcPr>
            <w:tcW w:w="91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其他应收款</w:t>
            </w:r>
          </w:p>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期末余额</w:t>
            </w:r>
          </w:p>
        </w:tc>
        <w:tc>
          <w:tcPr>
            <w:tcW w:w="62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账龄</w:t>
            </w:r>
          </w:p>
        </w:tc>
        <w:tc>
          <w:tcPr>
            <w:tcW w:w="82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占其他应收款期末余额合计数的比例</w:t>
            </w:r>
            <w:r>
              <w:rPr>
                <w:rFonts w:ascii="Times New Roman" w:hAnsi="Times New Roman" w:cs="Times New Roman"/>
                <w:bCs/>
                <w:sz w:val="18"/>
                <w:szCs w:val="18"/>
              </w:rPr>
              <w:t>(%)</w:t>
            </w:r>
          </w:p>
        </w:tc>
        <w:tc>
          <w:tcPr>
            <w:tcW w:w="72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坏账准备</w:t>
            </w:r>
          </w:p>
          <w:p w:rsidR="00403CD6" w:rsidRDefault="00E91A59">
            <w:pPr>
              <w:autoSpaceDE w:val="0"/>
              <w:autoSpaceDN w:val="0"/>
              <w:adjustRightInd w:val="0"/>
              <w:snapToGrid w:val="0"/>
              <w:jc w:val="center"/>
              <w:rPr>
                <w:rFonts w:ascii="Times New Roman" w:hAnsi="Times New Roman" w:cs="Times New Roman"/>
                <w:bCs/>
                <w:sz w:val="18"/>
                <w:szCs w:val="18"/>
              </w:rPr>
            </w:pPr>
            <w:r>
              <w:rPr>
                <w:rFonts w:ascii="Times New Roman" w:hAnsi="Times New Roman" w:cs="Times New Roman"/>
                <w:bCs/>
                <w:sz w:val="18"/>
                <w:szCs w:val="18"/>
              </w:rPr>
              <w:t>期末余额</w:t>
            </w: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hint="eastAsia"/>
                <w:bCs/>
                <w:sz w:val="18"/>
                <w:szCs w:val="18"/>
              </w:rPr>
              <w:t>客户</w:t>
            </w:r>
            <w:proofErr w:type="gramStart"/>
            <w:r>
              <w:rPr>
                <w:rFonts w:ascii="Times New Roman" w:hAnsi="Times New Roman" w:cs="Times New Roman" w:hint="eastAsia"/>
                <w:bCs/>
                <w:sz w:val="18"/>
                <w:szCs w:val="18"/>
              </w:rPr>
              <w:t>一</w:t>
            </w:r>
            <w:proofErr w:type="gramEnd"/>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往来款</w:t>
            </w: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2,442,033,001.14</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w:t>
            </w:r>
            <w:r>
              <w:rPr>
                <w:rFonts w:ascii="Times New Roman" w:hAnsi="Times New Roman" w:cs="Times New Roman"/>
                <w:bCs/>
                <w:sz w:val="18"/>
                <w:szCs w:val="18"/>
              </w:rPr>
              <w:t>年以内</w:t>
            </w: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28.55 </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hint="eastAsia"/>
                <w:bCs/>
                <w:sz w:val="18"/>
                <w:szCs w:val="18"/>
              </w:rPr>
              <w:t>客户二</w:t>
            </w:r>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往来款</w:t>
            </w: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1,347,116,068.96</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w:t>
            </w:r>
            <w:r>
              <w:rPr>
                <w:rFonts w:ascii="Times New Roman" w:hAnsi="Times New Roman" w:cs="Times New Roman"/>
                <w:bCs/>
                <w:sz w:val="18"/>
                <w:szCs w:val="18"/>
              </w:rPr>
              <w:t>年以内</w:t>
            </w: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15.75 </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hint="eastAsia"/>
                <w:bCs/>
                <w:sz w:val="18"/>
                <w:szCs w:val="18"/>
              </w:rPr>
              <w:t>客户三</w:t>
            </w:r>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往来款</w:t>
            </w: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1,255,354,827.07</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w:t>
            </w:r>
            <w:r>
              <w:rPr>
                <w:rFonts w:ascii="Times New Roman" w:hAnsi="Times New Roman" w:cs="Times New Roman"/>
                <w:bCs/>
                <w:sz w:val="18"/>
                <w:szCs w:val="18"/>
              </w:rPr>
              <w:t>年以内</w:t>
            </w: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14.68 </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hint="eastAsia"/>
                <w:bCs/>
                <w:sz w:val="18"/>
                <w:szCs w:val="18"/>
              </w:rPr>
              <w:t>客户四</w:t>
            </w:r>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往来款</w:t>
            </w: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809,609,195.89</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w:t>
            </w:r>
            <w:r>
              <w:rPr>
                <w:rFonts w:ascii="Times New Roman" w:hAnsi="Times New Roman" w:cs="Times New Roman"/>
                <w:bCs/>
                <w:sz w:val="18"/>
                <w:szCs w:val="18"/>
              </w:rPr>
              <w:t>年以内</w:t>
            </w: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9.46 </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hint="eastAsia"/>
                <w:bCs/>
                <w:sz w:val="18"/>
                <w:szCs w:val="18"/>
              </w:rPr>
              <w:t>客户五</w:t>
            </w:r>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E91A59">
            <w:pPr>
              <w:rPr>
                <w:rFonts w:ascii="Times New Roman" w:hAnsi="Times New Roman" w:cs="Times New Roman"/>
                <w:bCs/>
                <w:sz w:val="18"/>
                <w:szCs w:val="18"/>
              </w:rPr>
            </w:pPr>
            <w:r>
              <w:rPr>
                <w:rFonts w:ascii="Times New Roman" w:hAnsi="Times New Roman" w:cs="Times New Roman"/>
                <w:bCs/>
                <w:sz w:val="18"/>
                <w:szCs w:val="18"/>
              </w:rPr>
              <w:t>往来款</w:t>
            </w: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552,957,438.21</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1</w:t>
            </w:r>
            <w:r>
              <w:rPr>
                <w:rFonts w:ascii="Times New Roman" w:hAnsi="Times New Roman" w:cs="Times New Roman"/>
                <w:bCs/>
                <w:sz w:val="18"/>
                <w:szCs w:val="18"/>
              </w:rPr>
              <w:t>年以内</w:t>
            </w: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 xml:space="preserve"> 6.46 </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r w:rsidR="00403CD6">
        <w:trPr>
          <w:cantSplit/>
          <w:trHeight w:val="284"/>
          <w:jc w:val="center"/>
        </w:trPr>
        <w:tc>
          <w:tcPr>
            <w:tcW w:w="127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jc w:val="center"/>
              <w:rPr>
                <w:rFonts w:ascii="Times New Roman" w:hAnsi="Times New Roman" w:cs="Times New Roman"/>
                <w:bCs/>
                <w:sz w:val="18"/>
                <w:szCs w:val="18"/>
              </w:rPr>
            </w:pPr>
            <w:r>
              <w:rPr>
                <w:rFonts w:ascii="Times New Roman" w:hAnsi="Times New Roman" w:cs="Times New Roman"/>
                <w:bCs/>
                <w:sz w:val="18"/>
                <w:szCs w:val="18"/>
              </w:rPr>
              <w:t>合计</w:t>
            </w:r>
          </w:p>
        </w:tc>
        <w:tc>
          <w:tcPr>
            <w:tcW w:w="633" w:type="pct"/>
            <w:tcBorders>
              <w:top w:val="single" w:sz="4" w:space="0" w:color="auto"/>
              <w:left w:val="single" w:sz="4" w:space="0" w:color="auto"/>
              <w:bottom w:val="single" w:sz="4" w:space="0" w:color="auto"/>
              <w:right w:val="single" w:sz="4" w:space="0" w:color="auto"/>
            </w:tcBorders>
            <w:vAlign w:val="center"/>
          </w:tcPr>
          <w:p w:rsidR="00403CD6" w:rsidRDefault="00403CD6">
            <w:pPr>
              <w:rPr>
                <w:rFonts w:ascii="Times New Roman" w:hAnsi="Times New Roman" w:cs="Times New Roman"/>
                <w:bCs/>
                <w:sz w:val="18"/>
                <w:szCs w:val="18"/>
              </w:rPr>
            </w:pPr>
          </w:p>
        </w:tc>
        <w:tc>
          <w:tcPr>
            <w:tcW w:w="913"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6,407,070,531.27</w:t>
            </w:r>
          </w:p>
        </w:tc>
        <w:tc>
          <w:tcPr>
            <w:tcW w:w="629"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c>
          <w:tcPr>
            <w:tcW w:w="824" w:type="pct"/>
            <w:tcBorders>
              <w:top w:val="single" w:sz="4" w:space="0" w:color="auto"/>
              <w:left w:val="single" w:sz="4" w:space="0" w:color="auto"/>
              <w:bottom w:val="single" w:sz="4" w:space="0" w:color="auto"/>
              <w:right w:val="single" w:sz="4" w:space="0" w:color="auto"/>
            </w:tcBorders>
            <w:vAlign w:val="center"/>
          </w:tcPr>
          <w:p w:rsidR="00403CD6" w:rsidRDefault="00E91A59">
            <w:pPr>
              <w:jc w:val="right"/>
              <w:rPr>
                <w:rFonts w:ascii="Times New Roman" w:hAnsi="Times New Roman" w:cs="Times New Roman"/>
                <w:bCs/>
                <w:sz w:val="18"/>
                <w:szCs w:val="18"/>
              </w:rPr>
            </w:pPr>
            <w:r>
              <w:rPr>
                <w:rFonts w:ascii="Times New Roman" w:hAnsi="Times New Roman" w:cs="Times New Roman"/>
                <w:bCs/>
                <w:sz w:val="18"/>
                <w:szCs w:val="18"/>
              </w:rPr>
              <w:t>74.90</w:t>
            </w:r>
          </w:p>
        </w:tc>
        <w:tc>
          <w:tcPr>
            <w:tcW w:w="724" w:type="pct"/>
            <w:tcBorders>
              <w:top w:val="single" w:sz="4" w:space="0" w:color="auto"/>
              <w:left w:val="single" w:sz="4" w:space="0" w:color="auto"/>
              <w:bottom w:val="single" w:sz="4" w:space="0" w:color="auto"/>
              <w:right w:val="single" w:sz="4" w:space="0" w:color="auto"/>
            </w:tcBorders>
            <w:vAlign w:val="center"/>
          </w:tcPr>
          <w:p w:rsidR="00403CD6" w:rsidRDefault="00403CD6">
            <w:pPr>
              <w:jc w:val="right"/>
              <w:rPr>
                <w:rFonts w:ascii="Times New Roman" w:hAnsi="Times New Roman" w:cs="Times New Roman"/>
                <w:bCs/>
                <w:sz w:val="18"/>
                <w:szCs w:val="18"/>
              </w:rPr>
            </w:pPr>
          </w:p>
        </w:tc>
      </w:tr>
    </w:tbl>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3、长期股权投资</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01"/>
        <w:gridCol w:w="1569"/>
        <w:gridCol w:w="1068"/>
        <w:gridCol w:w="1442"/>
        <w:gridCol w:w="1487"/>
        <w:gridCol w:w="1157"/>
        <w:gridCol w:w="1469"/>
      </w:tblGrid>
      <w:tr w:rsidR="00403CD6">
        <w:trPr>
          <w:trHeight w:val="284"/>
        </w:trPr>
        <w:tc>
          <w:tcPr>
            <w:tcW w:w="77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项目</w:t>
            </w:r>
          </w:p>
        </w:tc>
        <w:tc>
          <w:tcPr>
            <w:tcW w:w="2104"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w:t>
            </w:r>
          </w:p>
        </w:tc>
        <w:tc>
          <w:tcPr>
            <w:tcW w:w="2122" w:type="pct"/>
            <w:gridSpan w:val="3"/>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w:t>
            </w:r>
          </w:p>
        </w:tc>
      </w:tr>
      <w:tr w:rsidR="00403CD6">
        <w:trPr>
          <w:trHeight w:val="284"/>
        </w:trPr>
        <w:tc>
          <w:tcPr>
            <w:tcW w:w="774" w:type="pct"/>
            <w:vMerge/>
            <w:vAlign w:val="center"/>
          </w:tcPr>
          <w:p w:rsidR="00403CD6" w:rsidRDefault="00403CD6">
            <w:pPr>
              <w:widowControl/>
              <w:rPr>
                <w:rFonts w:ascii="Times New Roman" w:eastAsia="宋体" w:hAnsi="Times New Roman" w:cs="Times New Roman"/>
                <w:sz w:val="18"/>
                <w:szCs w:val="18"/>
              </w:rPr>
            </w:pPr>
          </w:p>
        </w:tc>
        <w:tc>
          <w:tcPr>
            <w:tcW w:w="80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55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4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c>
          <w:tcPr>
            <w:tcW w:w="7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账面余额</w:t>
            </w:r>
          </w:p>
        </w:tc>
        <w:tc>
          <w:tcPr>
            <w:tcW w:w="59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w:t>
            </w:r>
          </w:p>
        </w:tc>
        <w:tc>
          <w:tcPr>
            <w:tcW w:w="75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账面价值</w:t>
            </w:r>
          </w:p>
        </w:tc>
      </w:tr>
      <w:tr w:rsidR="00403CD6">
        <w:trPr>
          <w:trHeight w:val="284"/>
        </w:trPr>
        <w:tc>
          <w:tcPr>
            <w:tcW w:w="7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对子公司投资</w:t>
            </w:r>
          </w:p>
        </w:tc>
        <w:tc>
          <w:tcPr>
            <w:tcW w:w="8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18,327,937,687.22</w:t>
            </w:r>
          </w:p>
        </w:tc>
        <w:tc>
          <w:tcPr>
            <w:tcW w:w="551" w:type="pct"/>
            <w:shd w:val="clear" w:color="auto" w:fill="auto"/>
            <w:vAlign w:val="center"/>
          </w:tcPr>
          <w:p w:rsidR="00403CD6" w:rsidRDefault="00403CD6">
            <w:pPr>
              <w:jc w:val="right"/>
              <w:rPr>
                <w:rFonts w:ascii="Times New Roman" w:hAnsi="Times New Roman" w:cs="Times New Roman"/>
                <w:sz w:val="18"/>
                <w:szCs w:val="18"/>
              </w:rPr>
            </w:pPr>
          </w:p>
        </w:tc>
        <w:tc>
          <w:tcPr>
            <w:tcW w:w="74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18,327,937,687.22</w:t>
            </w:r>
          </w:p>
        </w:tc>
        <w:tc>
          <w:tcPr>
            <w:tcW w:w="7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17,898,687,687.22</w:t>
            </w:r>
          </w:p>
        </w:tc>
        <w:tc>
          <w:tcPr>
            <w:tcW w:w="597" w:type="pct"/>
            <w:shd w:val="clear" w:color="auto" w:fill="auto"/>
            <w:vAlign w:val="center"/>
          </w:tcPr>
          <w:p w:rsidR="00403CD6" w:rsidRDefault="00403CD6">
            <w:pPr>
              <w:jc w:val="right"/>
              <w:rPr>
                <w:rFonts w:ascii="Times New Roman" w:hAnsi="Times New Roman" w:cs="Times New Roman"/>
                <w:sz w:val="18"/>
                <w:szCs w:val="18"/>
              </w:rPr>
            </w:pPr>
          </w:p>
        </w:tc>
        <w:tc>
          <w:tcPr>
            <w:tcW w:w="75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17,898,687,687.22</w:t>
            </w:r>
          </w:p>
        </w:tc>
      </w:tr>
      <w:tr w:rsidR="00403CD6">
        <w:trPr>
          <w:trHeight w:val="284"/>
        </w:trPr>
        <w:tc>
          <w:tcPr>
            <w:tcW w:w="774"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对合营企业投资</w:t>
            </w:r>
          </w:p>
        </w:tc>
        <w:tc>
          <w:tcPr>
            <w:tcW w:w="809"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95,685,951.23</w:t>
            </w:r>
          </w:p>
        </w:tc>
        <w:tc>
          <w:tcPr>
            <w:tcW w:w="551" w:type="pct"/>
            <w:shd w:val="clear" w:color="auto" w:fill="auto"/>
            <w:vAlign w:val="center"/>
          </w:tcPr>
          <w:p w:rsidR="00403CD6" w:rsidRDefault="00403CD6">
            <w:pPr>
              <w:jc w:val="right"/>
              <w:rPr>
                <w:rFonts w:ascii="Times New Roman" w:hAnsi="Times New Roman" w:cs="Times New Roman"/>
                <w:sz w:val="18"/>
                <w:szCs w:val="18"/>
              </w:rPr>
            </w:pPr>
          </w:p>
        </w:tc>
        <w:tc>
          <w:tcPr>
            <w:tcW w:w="74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95,685,951.23</w:t>
            </w:r>
          </w:p>
        </w:tc>
        <w:tc>
          <w:tcPr>
            <w:tcW w:w="7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86,542,364.15</w:t>
            </w:r>
          </w:p>
        </w:tc>
        <w:tc>
          <w:tcPr>
            <w:tcW w:w="597" w:type="pct"/>
            <w:shd w:val="clear" w:color="auto" w:fill="auto"/>
            <w:vAlign w:val="center"/>
          </w:tcPr>
          <w:p w:rsidR="00403CD6" w:rsidRDefault="00403CD6">
            <w:pPr>
              <w:jc w:val="right"/>
              <w:rPr>
                <w:rFonts w:ascii="Times New Roman" w:hAnsi="Times New Roman" w:cs="Times New Roman"/>
                <w:sz w:val="18"/>
                <w:szCs w:val="18"/>
              </w:rPr>
            </w:pPr>
          </w:p>
        </w:tc>
        <w:tc>
          <w:tcPr>
            <w:tcW w:w="75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86,542,364.15</w:t>
            </w:r>
          </w:p>
        </w:tc>
      </w:tr>
      <w:tr w:rsidR="00403CD6">
        <w:trPr>
          <w:trHeight w:val="284"/>
        </w:trPr>
        <w:tc>
          <w:tcPr>
            <w:tcW w:w="774"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对联营企业投资</w:t>
            </w:r>
          </w:p>
        </w:tc>
        <w:tc>
          <w:tcPr>
            <w:tcW w:w="809"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hAnsi="Times New Roman" w:cs="Times New Roman"/>
                <w:sz w:val="18"/>
                <w:szCs w:val="18"/>
              </w:rPr>
              <w:t>169,543,841.48</w:t>
            </w:r>
          </w:p>
        </w:tc>
        <w:tc>
          <w:tcPr>
            <w:tcW w:w="55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744" w:type="pct"/>
            <w:shd w:val="clear" w:color="auto" w:fill="auto"/>
            <w:vAlign w:val="center"/>
          </w:tcPr>
          <w:p w:rsidR="00403CD6" w:rsidRDefault="00E91A59">
            <w:pPr>
              <w:spacing w:before="100" w:beforeAutospacing="1" w:after="100" w:afterAutospacing="1"/>
              <w:jc w:val="right"/>
              <w:rPr>
                <w:rFonts w:ascii="Times New Roman" w:hAnsi="Times New Roman" w:cs="Times New Roman"/>
                <w:sz w:val="18"/>
                <w:szCs w:val="18"/>
              </w:rPr>
            </w:pPr>
            <w:r>
              <w:rPr>
                <w:rFonts w:ascii="Times New Roman" w:hAnsi="Times New Roman" w:cs="Times New Roman"/>
                <w:sz w:val="18"/>
                <w:szCs w:val="18"/>
              </w:rPr>
              <w:t>163,549,295.52</w:t>
            </w:r>
          </w:p>
        </w:tc>
        <w:tc>
          <w:tcPr>
            <w:tcW w:w="7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319,764,325.10</w:t>
            </w:r>
          </w:p>
        </w:tc>
        <w:tc>
          <w:tcPr>
            <w:tcW w:w="5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75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313,769,779.14</w:t>
            </w:r>
          </w:p>
        </w:tc>
      </w:tr>
      <w:tr w:rsidR="00403CD6">
        <w:trPr>
          <w:trHeight w:val="284"/>
        </w:trPr>
        <w:tc>
          <w:tcPr>
            <w:tcW w:w="774"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合计</w:t>
            </w:r>
          </w:p>
        </w:tc>
        <w:tc>
          <w:tcPr>
            <w:tcW w:w="809" w:type="pct"/>
            <w:shd w:val="clear" w:color="auto" w:fill="auto"/>
            <w:vAlign w:val="center"/>
          </w:tcPr>
          <w:p w:rsidR="00403CD6" w:rsidRDefault="00E91A59">
            <w:pPr>
              <w:spacing w:before="100" w:beforeAutospacing="1" w:after="100" w:afterAutospacing="1"/>
              <w:rPr>
                <w:rFonts w:ascii="Times New Roman" w:hAnsi="Times New Roman" w:cs="Times New Roman"/>
                <w:sz w:val="18"/>
                <w:szCs w:val="18"/>
              </w:rPr>
            </w:pPr>
            <w:r>
              <w:rPr>
                <w:rFonts w:ascii="Times New Roman" w:hAnsi="Times New Roman" w:cs="Times New Roman"/>
                <w:sz w:val="18"/>
                <w:szCs w:val="18"/>
              </w:rPr>
              <w:t>18,593,167,479.93</w:t>
            </w:r>
          </w:p>
        </w:tc>
        <w:tc>
          <w:tcPr>
            <w:tcW w:w="55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744" w:type="pct"/>
            <w:shd w:val="clear" w:color="auto" w:fill="auto"/>
            <w:vAlign w:val="center"/>
          </w:tcPr>
          <w:p w:rsidR="00403CD6" w:rsidRDefault="00E91A59">
            <w:pPr>
              <w:spacing w:before="100" w:beforeAutospacing="1" w:after="100" w:afterAutospacing="1"/>
              <w:rPr>
                <w:rFonts w:ascii="Times New Roman" w:hAnsi="Times New Roman" w:cs="Times New Roman"/>
                <w:sz w:val="18"/>
                <w:szCs w:val="18"/>
              </w:rPr>
            </w:pPr>
            <w:r>
              <w:rPr>
                <w:rFonts w:ascii="Times New Roman" w:hAnsi="Times New Roman" w:cs="Times New Roman"/>
                <w:sz w:val="18"/>
                <w:szCs w:val="18"/>
              </w:rPr>
              <w:t>18,587,172,933.97</w:t>
            </w:r>
          </w:p>
        </w:tc>
        <w:tc>
          <w:tcPr>
            <w:tcW w:w="76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18,304,994,376.47</w:t>
            </w:r>
          </w:p>
        </w:tc>
        <w:tc>
          <w:tcPr>
            <w:tcW w:w="5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c>
          <w:tcPr>
            <w:tcW w:w="75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18,298,999,830.51</w:t>
            </w:r>
          </w:p>
        </w:tc>
      </w:tr>
    </w:tbl>
    <w:p w:rsidR="00403CD6" w:rsidRDefault="00E91A59" w:rsidP="009753DB">
      <w:pPr>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（1） 对子公司投资</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004"/>
        <w:gridCol w:w="1702"/>
        <w:gridCol w:w="851"/>
        <w:gridCol w:w="566"/>
        <w:gridCol w:w="566"/>
        <w:gridCol w:w="710"/>
        <w:gridCol w:w="425"/>
        <w:gridCol w:w="1146"/>
        <w:gridCol w:w="723"/>
      </w:tblGrid>
      <w:tr w:rsidR="00403CD6">
        <w:trPr>
          <w:trHeight w:val="284"/>
        </w:trPr>
        <w:tc>
          <w:tcPr>
            <w:tcW w:w="155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被投资单位</w:t>
            </w:r>
          </w:p>
        </w:tc>
        <w:tc>
          <w:tcPr>
            <w:tcW w:w="87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期初余额（账面价值）</w:t>
            </w:r>
          </w:p>
        </w:tc>
        <w:tc>
          <w:tcPr>
            <w:tcW w:w="439"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减值准备期初余额</w:t>
            </w:r>
          </w:p>
        </w:tc>
        <w:tc>
          <w:tcPr>
            <w:tcW w:w="1169" w:type="pct"/>
            <w:gridSpan w:val="4"/>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本期增减变动</w:t>
            </w:r>
          </w:p>
        </w:tc>
        <w:tc>
          <w:tcPr>
            <w:tcW w:w="591"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期末余额（账面价值）</w:t>
            </w:r>
          </w:p>
        </w:tc>
        <w:tc>
          <w:tcPr>
            <w:tcW w:w="37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减值准备期末余额</w:t>
            </w:r>
          </w:p>
        </w:tc>
      </w:tr>
      <w:tr w:rsidR="00403CD6">
        <w:trPr>
          <w:trHeight w:val="284"/>
        </w:trPr>
        <w:tc>
          <w:tcPr>
            <w:tcW w:w="1550" w:type="pct"/>
            <w:vMerge/>
            <w:vAlign w:val="center"/>
          </w:tcPr>
          <w:p w:rsidR="00403CD6" w:rsidRDefault="00403CD6">
            <w:pPr>
              <w:widowControl/>
              <w:rPr>
                <w:rFonts w:ascii="Times New Roman" w:eastAsia="宋体" w:hAnsi="Times New Roman" w:cs="Times New Roman"/>
                <w:sz w:val="18"/>
                <w:szCs w:val="18"/>
              </w:rPr>
            </w:pPr>
          </w:p>
        </w:tc>
        <w:tc>
          <w:tcPr>
            <w:tcW w:w="878" w:type="pct"/>
            <w:vMerge/>
            <w:vAlign w:val="center"/>
          </w:tcPr>
          <w:p w:rsidR="00403CD6" w:rsidRDefault="00403CD6">
            <w:pPr>
              <w:widowControl/>
              <w:rPr>
                <w:rFonts w:ascii="Times New Roman" w:eastAsia="宋体" w:hAnsi="Times New Roman" w:cs="Times New Roman"/>
                <w:sz w:val="18"/>
                <w:szCs w:val="18"/>
              </w:rPr>
            </w:pPr>
          </w:p>
        </w:tc>
        <w:tc>
          <w:tcPr>
            <w:tcW w:w="439" w:type="pct"/>
            <w:vMerge/>
            <w:vAlign w:val="center"/>
          </w:tcPr>
          <w:p w:rsidR="00403CD6" w:rsidRDefault="00403CD6">
            <w:pPr>
              <w:widowControl/>
              <w:rPr>
                <w:rFonts w:ascii="Times New Roman" w:eastAsia="宋体" w:hAnsi="Times New Roman" w:cs="Times New Roman"/>
                <w:sz w:val="18"/>
                <w:szCs w:val="18"/>
              </w:rPr>
            </w:pPr>
          </w:p>
        </w:tc>
        <w:tc>
          <w:tcPr>
            <w:tcW w:w="2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追加投资</w:t>
            </w:r>
          </w:p>
        </w:tc>
        <w:tc>
          <w:tcPr>
            <w:tcW w:w="2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减少投资</w:t>
            </w:r>
          </w:p>
        </w:tc>
        <w:tc>
          <w:tcPr>
            <w:tcW w:w="366"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计提减值准备</w:t>
            </w:r>
          </w:p>
        </w:tc>
        <w:tc>
          <w:tcPr>
            <w:tcW w:w="21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591" w:type="pct"/>
            <w:vMerge/>
            <w:vAlign w:val="center"/>
          </w:tcPr>
          <w:p w:rsidR="00403CD6" w:rsidRDefault="00403CD6">
            <w:pPr>
              <w:widowControl/>
              <w:rPr>
                <w:rFonts w:ascii="Times New Roman" w:eastAsia="宋体" w:hAnsi="Times New Roman" w:cs="Times New Roman"/>
                <w:sz w:val="18"/>
                <w:szCs w:val="18"/>
              </w:rPr>
            </w:pPr>
          </w:p>
        </w:tc>
        <w:tc>
          <w:tcPr>
            <w:tcW w:w="373"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晨鸣纸业（韩国）株式会社</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6,143,400.00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6,143,400.00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w:t>
            </w:r>
            <w:r>
              <w:rPr>
                <w:rFonts w:ascii="Times New Roman" w:hAnsi="Times New Roman" w:cs="Times New Roman"/>
                <w:sz w:val="18"/>
                <w:szCs w:val="18"/>
              </w:rPr>
              <w:t>GmbH</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4,083,235.00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4,083,235.00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海拉尔晨鸣纸业有限责任公司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黄冈晨鸣浆纸有限公司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2,350,000,000.00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2,350,000,000.00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黄冈晨鸣林业发展有限责任公司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济南晨鸣纸业销售有限公司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山东御景大酒店有限公司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280,500,000.00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280,500,000.00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湛江晨鸣浆纸有限公司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5,206,250,000.00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68,750,000.00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5,275,000,000.00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w:t>
            </w:r>
            <w:proofErr w:type="gramStart"/>
            <w:r>
              <w:rPr>
                <w:rFonts w:ascii="Times New Roman" w:hAnsi="Times New Roman" w:cs="Times New Roman"/>
                <w:sz w:val="18"/>
                <w:szCs w:val="18"/>
              </w:rPr>
              <w:t>鸣现代</w:t>
            </w:r>
            <w:proofErr w:type="gramEnd"/>
            <w:r>
              <w:rPr>
                <w:rFonts w:ascii="Times New Roman" w:hAnsi="Times New Roman" w:cs="Times New Roman"/>
                <w:sz w:val="18"/>
                <w:szCs w:val="18"/>
              </w:rPr>
              <w:t>物流有限公司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寿光晨鸣美术纸有限公司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113,616,063.80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113,616,063.80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寿光美伦纸业有限责任公司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4,649,441,979.31</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300,000,000.00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4,949,441,979.31</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hint="eastAsia"/>
                <w:sz w:val="18"/>
                <w:szCs w:val="18"/>
              </w:rPr>
              <w:t>山东晨鸣纸品销售有限公司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1,500,000.00</w:t>
            </w: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403CD6">
            <w:pPr>
              <w:jc w:val="right"/>
              <w:rPr>
                <w:rFonts w:ascii="Times New Roman" w:hAnsi="Times New Roman" w:cs="Times New Roman"/>
                <w:sz w:val="18"/>
                <w:szCs w:val="18"/>
              </w:rPr>
            </w:pP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寿光晨鸣进出口贸易有限公司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寿光晨鸣造纸机械有限公司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寿光鸿翔印刷包装有限责任公司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3,730,000.00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3,730,000.00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山东晨鸣集团财务有限公司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4,000,000,000.00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4,000,000,000.00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晨鸣林业有限公司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45,000,000.00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45,000,000.00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晨鸣纸业美国有限公司</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6,407,800.00</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6,407,800.00</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潍坊晨鸣新旧动能转换股权投资基金合伙企业（有限合伙）</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559,722,323.96</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403CD6">
            <w:pPr>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559,722,323.96</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proofErr w:type="gramStart"/>
            <w:r>
              <w:rPr>
                <w:rFonts w:ascii="Times New Roman" w:hAnsi="Times New Roman" w:cs="Times New Roman"/>
                <w:sz w:val="18"/>
                <w:szCs w:val="18"/>
              </w:rPr>
              <w:t>潍坊晨都股权</w:t>
            </w:r>
            <w:proofErr w:type="gramEnd"/>
            <w:r>
              <w:rPr>
                <w:rFonts w:ascii="Times New Roman" w:hAnsi="Times New Roman" w:cs="Times New Roman"/>
                <w:sz w:val="18"/>
                <w:szCs w:val="18"/>
              </w:rPr>
              <w:t>投资合伙企业（有限合伙）</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228,292,885.15</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62,000,000.00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290,292,885.15</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r w:rsidR="00403CD6">
        <w:trPr>
          <w:trHeight w:val="284"/>
        </w:trPr>
        <w:tc>
          <w:tcPr>
            <w:tcW w:w="1550"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合计</w:t>
            </w:r>
          </w:p>
        </w:tc>
        <w:tc>
          <w:tcPr>
            <w:tcW w:w="878"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17,898,687,687.22</w:t>
            </w:r>
          </w:p>
        </w:tc>
        <w:tc>
          <w:tcPr>
            <w:tcW w:w="439" w:type="pct"/>
            <w:vAlign w:val="center"/>
          </w:tcPr>
          <w:p w:rsidR="00403CD6" w:rsidRDefault="00403CD6">
            <w:pPr>
              <w:spacing w:line="240" w:lineRule="exact"/>
              <w:jc w:val="right"/>
              <w:rPr>
                <w:rFonts w:ascii="Times New Roman" w:hAnsi="Times New Roman" w:cs="Times New Roman"/>
                <w:sz w:val="18"/>
                <w:szCs w:val="18"/>
              </w:rPr>
            </w:pPr>
          </w:p>
        </w:tc>
        <w:tc>
          <w:tcPr>
            <w:tcW w:w="292"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430,750,000.00</w:t>
            </w:r>
          </w:p>
        </w:tc>
        <w:tc>
          <w:tcPr>
            <w:tcW w:w="292"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1,500,000.00</w:t>
            </w:r>
          </w:p>
        </w:tc>
        <w:tc>
          <w:tcPr>
            <w:tcW w:w="366" w:type="pct"/>
            <w:vAlign w:val="center"/>
          </w:tcPr>
          <w:p w:rsidR="00403CD6" w:rsidRDefault="00403CD6">
            <w:pPr>
              <w:spacing w:line="240" w:lineRule="exact"/>
              <w:jc w:val="right"/>
              <w:rPr>
                <w:rFonts w:ascii="Times New Roman" w:hAnsi="Times New Roman" w:cs="Times New Roman"/>
                <w:sz w:val="18"/>
                <w:szCs w:val="18"/>
              </w:rPr>
            </w:pPr>
          </w:p>
        </w:tc>
        <w:tc>
          <w:tcPr>
            <w:tcW w:w="219" w:type="pct"/>
            <w:vAlign w:val="center"/>
          </w:tcPr>
          <w:p w:rsidR="00403CD6" w:rsidRDefault="00403CD6">
            <w:pPr>
              <w:spacing w:line="240" w:lineRule="exact"/>
              <w:jc w:val="right"/>
              <w:rPr>
                <w:rFonts w:ascii="Times New Roman" w:hAnsi="Times New Roman" w:cs="Times New Roman"/>
                <w:sz w:val="18"/>
                <w:szCs w:val="18"/>
              </w:rPr>
            </w:pPr>
          </w:p>
        </w:tc>
        <w:tc>
          <w:tcPr>
            <w:tcW w:w="5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18,327,937,687.22</w:t>
            </w:r>
          </w:p>
        </w:tc>
        <w:tc>
          <w:tcPr>
            <w:tcW w:w="373" w:type="pct"/>
            <w:vAlign w:val="center"/>
          </w:tcPr>
          <w:p w:rsidR="00403CD6" w:rsidRDefault="00403CD6">
            <w:pPr>
              <w:spacing w:line="240" w:lineRule="exact"/>
              <w:jc w:val="right"/>
              <w:rPr>
                <w:rFonts w:ascii="Times New Roman" w:hAnsi="Times New Roman" w:cs="Times New Roman"/>
                <w:sz w:val="18"/>
                <w:szCs w:val="18"/>
              </w:rPr>
            </w:pPr>
          </w:p>
        </w:tc>
      </w:tr>
    </w:tbl>
    <w:p w:rsidR="00403CD6" w:rsidRDefault="00E91A59">
      <w:pPr>
        <w:keepNext/>
        <w:keepLines/>
        <w:spacing w:before="300" w:after="300" w:line="280" w:lineRule="exact"/>
        <w:outlineLvl w:val="3"/>
        <w:rPr>
          <w:rFonts w:ascii="宋体" w:eastAsia="宋体" w:hAnsi="宋体" w:cs="宋体"/>
          <w:b/>
          <w:bCs/>
          <w:szCs w:val="21"/>
        </w:rPr>
      </w:pPr>
      <w:r>
        <w:rPr>
          <w:rFonts w:ascii="宋体" w:eastAsia="宋体" w:hAnsi="宋体" w:cs="宋体" w:hint="eastAsia"/>
          <w:b/>
          <w:bCs/>
          <w:szCs w:val="21"/>
        </w:rPr>
        <w:t>（2） 对联营、合营企业投资</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447"/>
        <w:gridCol w:w="692"/>
        <w:gridCol w:w="646"/>
        <w:gridCol w:w="657"/>
        <w:gridCol w:w="737"/>
        <w:gridCol w:w="963"/>
        <w:gridCol w:w="713"/>
        <w:gridCol w:w="533"/>
        <w:gridCol w:w="1012"/>
        <w:gridCol w:w="566"/>
        <w:gridCol w:w="426"/>
        <w:gridCol w:w="686"/>
        <w:gridCol w:w="615"/>
      </w:tblGrid>
      <w:tr w:rsidR="00403CD6">
        <w:trPr>
          <w:trHeight w:val="284"/>
        </w:trPr>
        <w:tc>
          <w:tcPr>
            <w:tcW w:w="746"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lastRenderedPageBreak/>
              <w:t>被投资单位</w:t>
            </w:r>
          </w:p>
        </w:tc>
        <w:tc>
          <w:tcPr>
            <w:tcW w:w="357"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期初余额（账面价值）</w:t>
            </w:r>
          </w:p>
        </w:tc>
        <w:tc>
          <w:tcPr>
            <w:tcW w:w="33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减值准备期初余额</w:t>
            </w:r>
          </w:p>
        </w:tc>
        <w:tc>
          <w:tcPr>
            <w:tcW w:w="2892" w:type="pct"/>
            <w:gridSpan w:val="8"/>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本期增减变动</w:t>
            </w:r>
          </w:p>
        </w:tc>
        <w:tc>
          <w:tcPr>
            <w:tcW w:w="354"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期末余额（账面价值）</w:t>
            </w:r>
          </w:p>
        </w:tc>
        <w:tc>
          <w:tcPr>
            <w:tcW w:w="317"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减值准备期末余额</w:t>
            </w:r>
          </w:p>
        </w:tc>
      </w:tr>
      <w:tr w:rsidR="00403CD6">
        <w:trPr>
          <w:trHeight w:val="284"/>
        </w:trPr>
        <w:tc>
          <w:tcPr>
            <w:tcW w:w="746" w:type="pct"/>
            <w:vMerge/>
            <w:vAlign w:val="center"/>
          </w:tcPr>
          <w:p w:rsidR="00403CD6" w:rsidRDefault="00403CD6">
            <w:pPr>
              <w:widowControl/>
              <w:rPr>
                <w:rFonts w:ascii="Times New Roman" w:eastAsia="宋体" w:hAnsi="Times New Roman" w:cs="Times New Roman"/>
                <w:sz w:val="18"/>
                <w:szCs w:val="18"/>
              </w:rPr>
            </w:pPr>
          </w:p>
        </w:tc>
        <w:tc>
          <w:tcPr>
            <w:tcW w:w="357" w:type="pct"/>
            <w:vMerge/>
            <w:vAlign w:val="center"/>
          </w:tcPr>
          <w:p w:rsidR="00403CD6" w:rsidRDefault="00403CD6">
            <w:pPr>
              <w:widowControl/>
              <w:rPr>
                <w:rFonts w:ascii="Times New Roman" w:eastAsia="宋体" w:hAnsi="Times New Roman" w:cs="Times New Roman"/>
                <w:sz w:val="18"/>
                <w:szCs w:val="18"/>
              </w:rPr>
            </w:pPr>
          </w:p>
        </w:tc>
        <w:tc>
          <w:tcPr>
            <w:tcW w:w="333" w:type="pct"/>
            <w:vMerge/>
            <w:vAlign w:val="center"/>
          </w:tcPr>
          <w:p w:rsidR="00403CD6" w:rsidRDefault="00403CD6">
            <w:pPr>
              <w:widowControl/>
              <w:rPr>
                <w:rFonts w:ascii="Times New Roman" w:eastAsia="宋体" w:hAnsi="Times New Roman" w:cs="Times New Roman"/>
                <w:sz w:val="18"/>
                <w:szCs w:val="18"/>
              </w:rPr>
            </w:pPr>
          </w:p>
        </w:tc>
        <w:tc>
          <w:tcPr>
            <w:tcW w:w="33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追加投资</w:t>
            </w:r>
          </w:p>
        </w:tc>
        <w:tc>
          <w:tcPr>
            <w:tcW w:w="38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减少投资</w:t>
            </w:r>
          </w:p>
        </w:tc>
        <w:tc>
          <w:tcPr>
            <w:tcW w:w="49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权益法下确认的投资损益</w:t>
            </w:r>
          </w:p>
        </w:tc>
        <w:tc>
          <w:tcPr>
            <w:tcW w:w="36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其他综合收益调整</w:t>
            </w:r>
          </w:p>
        </w:tc>
        <w:tc>
          <w:tcPr>
            <w:tcW w:w="27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其他权益变动</w:t>
            </w:r>
          </w:p>
        </w:tc>
        <w:tc>
          <w:tcPr>
            <w:tcW w:w="52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宣告发放现金股利或利润</w:t>
            </w:r>
          </w:p>
        </w:tc>
        <w:tc>
          <w:tcPr>
            <w:tcW w:w="2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计提减值准备</w:t>
            </w:r>
          </w:p>
        </w:tc>
        <w:tc>
          <w:tcPr>
            <w:tcW w:w="22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其他</w:t>
            </w:r>
          </w:p>
        </w:tc>
        <w:tc>
          <w:tcPr>
            <w:tcW w:w="354" w:type="pct"/>
            <w:vMerge/>
            <w:vAlign w:val="center"/>
          </w:tcPr>
          <w:p w:rsidR="00403CD6" w:rsidRDefault="00403CD6">
            <w:pPr>
              <w:widowControl/>
              <w:rPr>
                <w:rFonts w:ascii="Times New Roman" w:eastAsia="宋体" w:hAnsi="Times New Roman" w:cs="Times New Roman"/>
                <w:sz w:val="18"/>
                <w:szCs w:val="18"/>
              </w:rPr>
            </w:pPr>
          </w:p>
        </w:tc>
        <w:tc>
          <w:tcPr>
            <w:tcW w:w="317" w:type="pct"/>
            <w:vMerge/>
            <w:vAlign w:val="center"/>
          </w:tcPr>
          <w:p w:rsidR="00403CD6" w:rsidRDefault="00403CD6">
            <w:pPr>
              <w:widowControl/>
              <w:rPr>
                <w:rFonts w:ascii="Times New Roman" w:eastAsia="宋体" w:hAnsi="Times New Roman" w:cs="Times New Roman"/>
                <w:sz w:val="18"/>
                <w:szCs w:val="18"/>
              </w:rPr>
            </w:pPr>
          </w:p>
        </w:tc>
      </w:tr>
      <w:tr w:rsidR="00403CD6">
        <w:trPr>
          <w:trHeight w:val="284"/>
        </w:trPr>
        <w:tc>
          <w:tcPr>
            <w:tcW w:w="5000" w:type="pct"/>
            <w:gridSpan w:val="13"/>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一、联营企业</w:t>
            </w:r>
          </w:p>
        </w:tc>
      </w:tr>
      <w:tr w:rsidR="00403CD6">
        <w:trPr>
          <w:trHeight w:val="284"/>
        </w:trPr>
        <w:tc>
          <w:tcPr>
            <w:tcW w:w="746"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珠海</w:t>
            </w:r>
            <w:proofErr w:type="gramStart"/>
            <w:r>
              <w:rPr>
                <w:rFonts w:ascii="Times New Roman" w:hAnsi="Times New Roman" w:cs="Times New Roman"/>
                <w:sz w:val="18"/>
                <w:szCs w:val="18"/>
              </w:rPr>
              <w:t>德辰新三板</w:t>
            </w:r>
            <w:proofErr w:type="gramEnd"/>
            <w:r>
              <w:rPr>
                <w:rFonts w:ascii="Times New Roman" w:hAnsi="Times New Roman" w:cs="Times New Roman"/>
                <w:sz w:val="18"/>
                <w:szCs w:val="18"/>
              </w:rPr>
              <w:t>股权投资基金企业（有限合伙）</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27,263,804.36</w:t>
            </w:r>
          </w:p>
        </w:tc>
        <w:tc>
          <w:tcPr>
            <w:tcW w:w="333" w:type="pct"/>
            <w:vAlign w:val="center"/>
          </w:tcPr>
          <w:p w:rsidR="00403CD6" w:rsidRDefault="00403CD6">
            <w:pPr>
              <w:spacing w:line="240" w:lineRule="exact"/>
              <w:jc w:val="right"/>
              <w:rPr>
                <w:rFonts w:ascii="Times New Roman" w:hAnsi="Times New Roman" w:cs="Times New Roman"/>
                <w:sz w:val="18"/>
                <w:szCs w:val="18"/>
              </w:rPr>
            </w:pP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vAlign w:val="center"/>
          </w:tcPr>
          <w:p w:rsidR="00403CD6" w:rsidRDefault="00403CD6">
            <w:pPr>
              <w:spacing w:line="240" w:lineRule="exact"/>
              <w:jc w:val="right"/>
              <w:rPr>
                <w:rFonts w:ascii="Times New Roman" w:hAnsi="Times New Roman" w:cs="Times New Roman"/>
                <w:sz w:val="18"/>
                <w:szCs w:val="18"/>
              </w:rPr>
            </w:pP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-96,122.05</w:t>
            </w:r>
          </w:p>
        </w:tc>
        <w:tc>
          <w:tcPr>
            <w:tcW w:w="368" w:type="pct"/>
            <w:vAlign w:val="center"/>
          </w:tcPr>
          <w:p w:rsidR="00403CD6" w:rsidRDefault="00403CD6">
            <w:pPr>
              <w:spacing w:line="240" w:lineRule="exact"/>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27,167,682.31</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宁波启辰华美股权投资基金合伙企业（有限合伙）</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278,128,830.13</w:t>
            </w:r>
          </w:p>
        </w:tc>
        <w:tc>
          <w:tcPr>
            <w:tcW w:w="333" w:type="pct"/>
            <w:vAlign w:val="center"/>
          </w:tcPr>
          <w:p w:rsidR="00403CD6" w:rsidRDefault="00403CD6">
            <w:pPr>
              <w:spacing w:line="240" w:lineRule="exact"/>
              <w:jc w:val="right"/>
              <w:rPr>
                <w:rFonts w:ascii="Times New Roman" w:hAnsi="Times New Roman" w:cs="Times New Roman"/>
                <w:sz w:val="18"/>
                <w:szCs w:val="18"/>
              </w:rPr>
            </w:pP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vAlign w:val="center"/>
          </w:tcPr>
          <w:p w:rsidR="00403CD6" w:rsidRDefault="00403CD6">
            <w:pPr>
              <w:spacing w:line="240" w:lineRule="exact"/>
              <w:jc w:val="right"/>
              <w:rPr>
                <w:rFonts w:ascii="Times New Roman" w:hAnsi="Times New Roman" w:cs="Times New Roman"/>
                <w:sz w:val="18"/>
                <w:szCs w:val="18"/>
              </w:rPr>
            </w:pP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-142,574,010.13</w:t>
            </w:r>
          </w:p>
        </w:tc>
        <w:tc>
          <w:tcPr>
            <w:tcW w:w="368" w:type="pct"/>
            <w:vAlign w:val="center"/>
          </w:tcPr>
          <w:p w:rsidR="00403CD6" w:rsidRDefault="00403CD6">
            <w:pPr>
              <w:spacing w:line="240" w:lineRule="exact"/>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135,554,820.00</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晨鸣（青岛）资产管理有限公司</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8,377,144.65</w:t>
            </w:r>
          </w:p>
        </w:tc>
        <w:tc>
          <w:tcPr>
            <w:tcW w:w="333" w:type="pct"/>
            <w:vAlign w:val="center"/>
          </w:tcPr>
          <w:p w:rsidR="00403CD6" w:rsidRDefault="00403CD6">
            <w:pPr>
              <w:spacing w:line="240" w:lineRule="exact"/>
              <w:jc w:val="right"/>
              <w:rPr>
                <w:rFonts w:ascii="Times New Roman" w:hAnsi="Times New Roman" w:cs="Times New Roman"/>
                <w:sz w:val="18"/>
                <w:szCs w:val="18"/>
              </w:rPr>
            </w:pP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7,822,100.00</w:t>
            </w: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271,748.56</w:t>
            </w:r>
          </w:p>
        </w:tc>
        <w:tc>
          <w:tcPr>
            <w:tcW w:w="368" w:type="pct"/>
            <w:vAlign w:val="center"/>
          </w:tcPr>
          <w:p w:rsidR="00403CD6" w:rsidRDefault="00403CD6">
            <w:pPr>
              <w:spacing w:line="240" w:lineRule="exact"/>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826,793.21</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许昌晨鸣纸业股份有限公司</w:t>
            </w:r>
          </w:p>
        </w:tc>
        <w:tc>
          <w:tcPr>
            <w:tcW w:w="357" w:type="pct"/>
            <w:shd w:val="clear" w:color="auto" w:fill="auto"/>
            <w:vAlign w:val="center"/>
          </w:tcPr>
          <w:p w:rsidR="00403CD6" w:rsidRDefault="00403CD6">
            <w:pPr>
              <w:jc w:val="right"/>
              <w:rPr>
                <w:rFonts w:ascii="Times New Roman" w:hAnsi="Times New Roman" w:cs="Times New Roman"/>
                <w:sz w:val="18"/>
                <w:szCs w:val="18"/>
              </w:rPr>
            </w:pPr>
          </w:p>
        </w:tc>
        <w:tc>
          <w:tcPr>
            <w:tcW w:w="333"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5,994,545.96</w:t>
            </w: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shd w:val="clear" w:color="auto" w:fill="auto"/>
            <w:vAlign w:val="center"/>
          </w:tcPr>
          <w:p w:rsidR="00403CD6" w:rsidRDefault="00403CD6">
            <w:pPr>
              <w:jc w:val="right"/>
              <w:rPr>
                <w:rFonts w:ascii="Times New Roman" w:hAnsi="Times New Roman" w:cs="Times New Roman"/>
                <w:sz w:val="18"/>
                <w:szCs w:val="18"/>
              </w:rPr>
            </w:pPr>
          </w:p>
        </w:tc>
        <w:tc>
          <w:tcPr>
            <w:tcW w:w="497" w:type="pct"/>
            <w:shd w:val="clear" w:color="auto" w:fill="auto"/>
            <w:vAlign w:val="center"/>
          </w:tcPr>
          <w:p w:rsidR="00403CD6" w:rsidRDefault="00403CD6">
            <w:pPr>
              <w:jc w:val="right"/>
              <w:rPr>
                <w:rFonts w:ascii="Times New Roman" w:hAnsi="Times New Roman" w:cs="Times New Roman"/>
                <w:sz w:val="18"/>
                <w:szCs w:val="18"/>
              </w:rPr>
            </w:pPr>
          </w:p>
        </w:tc>
        <w:tc>
          <w:tcPr>
            <w:tcW w:w="368" w:type="pct"/>
            <w:vAlign w:val="center"/>
          </w:tcPr>
          <w:p w:rsidR="00403CD6" w:rsidRDefault="00403CD6">
            <w:pPr>
              <w:spacing w:line="240" w:lineRule="exact"/>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403CD6">
            <w:pPr>
              <w:jc w:val="right"/>
              <w:rPr>
                <w:rFonts w:ascii="Times New Roman" w:hAnsi="Times New Roman" w:cs="Times New Roman"/>
                <w:sz w:val="18"/>
                <w:szCs w:val="18"/>
              </w:rPr>
            </w:pPr>
          </w:p>
        </w:tc>
        <w:tc>
          <w:tcPr>
            <w:tcW w:w="3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r>
      <w:tr w:rsidR="00403CD6">
        <w:trPr>
          <w:trHeight w:val="284"/>
        </w:trPr>
        <w:tc>
          <w:tcPr>
            <w:tcW w:w="746"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小计</w:t>
            </w:r>
          </w:p>
        </w:tc>
        <w:tc>
          <w:tcPr>
            <w:tcW w:w="357"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313,769,779.14</w:t>
            </w:r>
          </w:p>
        </w:tc>
        <w:tc>
          <w:tcPr>
            <w:tcW w:w="333"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5,994,545.96</w:t>
            </w: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7,822,100.00</w:t>
            </w: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-142,398,383.62</w:t>
            </w:r>
          </w:p>
        </w:tc>
        <w:tc>
          <w:tcPr>
            <w:tcW w:w="368" w:type="pct"/>
            <w:vAlign w:val="center"/>
          </w:tcPr>
          <w:p w:rsidR="00403CD6" w:rsidRDefault="00403CD6">
            <w:pPr>
              <w:spacing w:line="240" w:lineRule="exact"/>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163,549,295.52</w:t>
            </w:r>
          </w:p>
        </w:tc>
        <w:tc>
          <w:tcPr>
            <w:tcW w:w="3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r>
      <w:tr w:rsidR="00403CD6">
        <w:trPr>
          <w:trHeight w:val="284"/>
        </w:trPr>
        <w:tc>
          <w:tcPr>
            <w:tcW w:w="5000" w:type="pct"/>
            <w:gridSpan w:val="13"/>
            <w:shd w:val="clear" w:color="auto" w:fill="D3D3D3"/>
            <w:vAlign w:val="center"/>
          </w:tcPr>
          <w:p w:rsidR="00403CD6" w:rsidRDefault="00E91A59">
            <w:pPr>
              <w:spacing w:before="40" w:after="40" w:line="240" w:lineRule="exact"/>
              <w:rPr>
                <w:rFonts w:ascii="Times New Roman" w:hAnsi="Times New Roman" w:cs="Times New Roman"/>
                <w:sz w:val="18"/>
                <w:szCs w:val="18"/>
              </w:rPr>
            </w:pPr>
            <w:r>
              <w:rPr>
                <w:rFonts w:ascii="Times New Roman" w:hAnsi="Times New Roman" w:cs="Times New Roman"/>
                <w:sz w:val="18"/>
                <w:szCs w:val="18"/>
              </w:rPr>
              <w:t>二、合营企业</w:t>
            </w:r>
          </w:p>
        </w:tc>
      </w:tr>
      <w:tr w:rsidR="00403CD6">
        <w:trPr>
          <w:trHeight w:val="284"/>
        </w:trPr>
        <w:tc>
          <w:tcPr>
            <w:tcW w:w="746"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寿光晨</w:t>
            </w:r>
            <w:proofErr w:type="gramStart"/>
            <w:r>
              <w:rPr>
                <w:rFonts w:ascii="Times New Roman" w:hAnsi="Times New Roman" w:cs="Times New Roman"/>
                <w:sz w:val="18"/>
                <w:szCs w:val="18"/>
              </w:rPr>
              <w:t>鸣汇森</w:t>
            </w:r>
            <w:proofErr w:type="gramEnd"/>
            <w:r>
              <w:rPr>
                <w:rFonts w:ascii="Times New Roman" w:hAnsi="Times New Roman" w:cs="Times New Roman"/>
                <w:sz w:val="18"/>
                <w:szCs w:val="18"/>
              </w:rPr>
              <w:t>新型建材有限公司</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7,400,283.59</w:t>
            </w:r>
          </w:p>
        </w:tc>
        <w:tc>
          <w:tcPr>
            <w:tcW w:w="333" w:type="pct"/>
            <w:shd w:val="clear" w:color="auto" w:fill="auto"/>
            <w:vAlign w:val="center"/>
          </w:tcPr>
          <w:p w:rsidR="00403CD6" w:rsidRDefault="00403CD6">
            <w:pPr>
              <w:jc w:val="right"/>
              <w:rPr>
                <w:rFonts w:ascii="Times New Roman" w:hAnsi="Times New Roman" w:cs="Times New Roman"/>
                <w:sz w:val="18"/>
                <w:szCs w:val="18"/>
              </w:rPr>
            </w:pPr>
          </w:p>
        </w:tc>
        <w:tc>
          <w:tcPr>
            <w:tcW w:w="339" w:type="pct"/>
            <w:shd w:val="clear" w:color="auto" w:fill="auto"/>
            <w:vAlign w:val="center"/>
          </w:tcPr>
          <w:p w:rsidR="00403CD6" w:rsidRDefault="00403CD6">
            <w:pPr>
              <w:jc w:val="right"/>
              <w:rPr>
                <w:rFonts w:ascii="Times New Roman" w:hAnsi="Times New Roman" w:cs="Times New Roman"/>
                <w:sz w:val="18"/>
                <w:szCs w:val="18"/>
              </w:rPr>
            </w:pPr>
          </w:p>
        </w:tc>
        <w:tc>
          <w:tcPr>
            <w:tcW w:w="380" w:type="pct"/>
            <w:shd w:val="clear" w:color="auto" w:fill="auto"/>
            <w:vAlign w:val="center"/>
          </w:tcPr>
          <w:p w:rsidR="00403CD6" w:rsidRDefault="00403CD6">
            <w:pPr>
              <w:jc w:val="right"/>
              <w:rPr>
                <w:rFonts w:ascii="Times New Roman" w:hAnsi="Times New Roman" w:cs="Times New Roman"/>
                <w:sz w:val="18"/>
                <w:szCs w:val="18"/>
              </w:rPr>
            </w:pP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1,468,652.13</w:t>
            </w: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275" w:type="pct"/>
            <w:shd w:val="clear" w:color="auto" w:fill="auto"/>
            <w:vAlign w:val="center"/>
          </w:tcPr>
          <w:p w:rsidR="00403CD6" w:rsidRDefault="00403CD6">
            <w:pPr>
              <w:jc w:val="right"/>
              <w:rPr>
                <w:rFonts w:ascii="Times New Roman" w:hAnsi="Times New Roman" w:cs="Times New Roman"/>
                <w:sz w:val="18"/>
                <w:szCs w:val="18"/>
              </w:rPr>
            </w:pPr>
          </w:p>
        </w:tc>
        <w:tc>
          <w:tcPr>
            <w:tcW w:w="522"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500,000.00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8,368,935.72</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潍坊港区木片码头有限公司</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79,142,080.56</w:t>
            </w:r>
          </w:p>
        </w:tc>
        <w:tc>
          <w:tcPr>
            <w:tcW w:w="333" w:type="pct"/>
            <w:shd w:val="clear" w:color="auto" w:fill="auto"/>
            <w:vAlign w:val="center"/>
          </w:tcPr>
          <w:p w:rsidR="00403CD6" w:rsidRDefault="00403CD6">
            <w:pPr>
              <w:jc w:val="right"/>
              <w:rPr>
                <w:rFonts w:ascii="Times New Roman" w:hAnsi="Times New Roman" w:cs="Times New Roman"/>
                <w:sz w:val="18"/>
                <w:szCs w:val="18"/>
              </w:rPr>
            </w:pPr>
          </w:p>
        </w:tc>
        <w:tc>
          <w:tcPr>
            <w:tcW w:w="339" w:type="pct"/>
            <w:shd w:val="clear" w:color="auto" w:fill="auto"/>
            <w:vAlign w:val="center"/>
          </w:tcPr>
          <w:p w:rsidR="00403CD6" w:rsidRDefault="00403CD6">
            <w:pPr>
              <w:jc w:val="right"/>
              <w:rPr>
                <w:rFonts w:ascii="Times New Roman" w:hAnsi="Times New Roman" w:cs="Times New Roman"/>
                <w:sz w:val="18"/>
                <w:szCs w:val="18"/>
              </w:rPr>
            </w:pPr>
          </w:p>
        </w:tc>
        <w:tc>
          <w:tcPr>
            <w:tcW w:w="380" w:type="pct"/>
            <w:shd w:val="clear" w:color="auto" w:fill="auto"/>
            <w:vAlign w:val="center"/>
          </w:tcPr>
          <w:p w:rsidR="00403CD6" w:rsidRDefault="00403CD6">
            <w:pPr>
              <w:jc w:val="right"/>
              <w:rPr>
                <w:rFonts w:ascii="Times New Roman" w:hAnsi="Times New Roman" w:cs="Times New Roman"/>
                <w:sz w:val="18"/>
                <w:szCs w:val="18"/>
              </w:rPr>
            </w:pP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8,174,934.95</w:t>
            </w: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275" w:type="pct"/>
            <w:shd w:val="clear" w:color="auto" w:fill="auto"/>
            <w:vAlign w:val="center"/>
          </w:tcPr>
          <w:p w:rsidR="00403CD6" w:rsidRDefault="00403CD6">
            <w:pPr>
              <w:jc w:val="right"/>
              <w:rPr>
                <w:rFonts w:ascii="Times New Roman" w:hAnsi="Times New Roman" w:cs="Times New Roman"/>
                <w:sz w:val="18"/>
                <w:szCs w:val="18"/>
              </w:rPr>
            </w:pPr>
          </w:p>
        </w:tc>
        <w:tc>
          <w:tcPr>
            <w:tcW w:w="522" w:type="pct"/>
            <w:vAlign w:val="center"/>
          </w:tcPr>
          <w:p w:rsidR="00403CD6" w:rsidRDefault="00403CD6">
            <w:pPr>
              <w:spacing w:line="240" w:lineRule="exact"/>
              <w:jc w:val="right"/>
              <w:rPr>
                <w:rFonts w:ascii="Times New Roman" w:hAnsi="Times New Roman" w:cs="Times New Roman"/>
                <w:sz w:val="18"/>
                <w:szCs w:val="18"/>
              </w:rPr>
            </w:pP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87,317,015.51</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小计</w:t>
            </w:r>
          </w:p>
        </w:tc>
        <w:tc>
          <w:tcPr>
            <w:tcW w:w="35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86,542,364.15</w:t>
            </w:r>
          </w:p>
        </w:tc>
        <w:tc>
          <w:tcPr>
            <w:tcW w:w="333" w:type="pct"/>
            <w:shd w:val="clear" w:color="auto" w:fill="auto"/>
            <w:vAlign w:val="center"/>
          </w:tcPr>
          <w:p w:rsidR="00403CD6" w:rsidRDefault="00403CD6">
            <w:pPr>
              <w:jc w:val="right"/>
              <w:rPr>
                <w:rFonts w:ascii="Times New Roman" w:hAnsi="Times New Roman" w:cs="Times New Roman"/>
                <w:sz w:val="18"/>
                <w:szCs w:val="18"/>
              </w:rPr>
            </w:pPr>
          </w:p>
        </w:tc>
        <w:tc>
          <w:tcPr>
            <w:tcW w:w="339" w:type="pct"/>
            <w:shd w:val="clear" w:color="auto" w:fill="auto"/>
            <w:vAlign w:val="center"/>
          </w:tcPr>
          <w:p w:rsidR="00403CD6" w:rsidRDefault="00403CD6">
            <w:pPr>
              <w:jc w:val="right"/>
              <w:rPr>
                <w:rFonts w:ascii="Times New Roman" w:hAnsi="Times New Roman" w:cs="Times New Roman"/>
                <w:sz w:val="18"/>
                <w:szCs w:val="18"/>
              </w:rPr>
            </w:pPr>
          </w:p>
        </w:tc>
        <w:tc>
          <w:tcPr>
            <w:tcW w:w="380" w:type="pct"/>
            <w:shd w:val="clear" w:color="auto" w:fill="auto"/>
            <w:vAlign w:val="center"/>
          </w:tcPr>
          <w:p w:rsidR="00403CD6" w:rsidRDefault="00403CD6">
            <w:pPr>
              <w:jc w:val="right"/>
              <w:rPr>
                <w:rFonts w:ascii="Times New Roman" w:hAnsi="Times New Roman" w:cs="Times New Roman"/>
                <w:sz w:val="18"/>
                <w:szCs w:val="18"/>
              </w:rPr>
            </w:pP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9,643,587.08</w:t>
            </w: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275" w:type="pct"/>
            <w:shd w:val="clear" w:color="auto" w:fill="auto"/>
            <w:vAlign w:val="center"/>
          </w:tcPr>
          <w:p w:rsidR="00403CD6" w:rsidRDefault="00403CD6">
            <w:pPr>
              <w:jc w:val="right"/>
              <w:rPr>
                <w:rFonts w:ascii="Times New Roman" w:hAnsi="Times New Roman" w:cs="Times New Roman"/>
                <w:sz w:val="18"/>
                <w:szCs w:val="18"/>
              </w:rPr>
            </w:pPr>
          </w:p>
        </w:tc>
        <w:tc>
          <w:tcPr>
            <w:tcW w:w="522"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500,000.00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95,685,951.23</w:t>
            </w:r>
          </w:p>
        </w:tc>
        <w:tc>
          <w:tcPr>
            <w:tcW w:w="317" w:type="pct"/>
            <w:shd w:val="clear" w:color="auto" w:fill="auto"/>
            <w:vAlign w:val="center"/>
          </w:tcPr>
          <w:p w:rsidR="00403CD6" w:rsidRDefault="00403CD6">
            <w:pPr>
              <w:jc w:val="right"/>
              <w:rPr>
                <w:rFonts w:ascii="Times New Roman" w:hAnsi="Times New Roman" w:cs="Times New Roman"/>
                <w:sz w:val="18"/>
                <w:szCs w:val="18"/>
              </w:rPr>
            </w:pPr>
          </w:p>
        </w:tc>
      </w:tr>
      <w:tr w:rsidR="00403CD6">
        <w:trPr>
          <w:trHeight w:val="284"/>
        </w:trPr>
        <w:tc>
          <w:tcPr>
            <w:tcW w:w="746" w:type="pct"/>
            <w:shd w:val="clear" w:color="auto" w:fill="D3D3D3"/>
            <w:vAlign w:val="center"/>
          </w:tcPr>
          <w:p w:rsidR="00403CD6" w:rsidRDefault="00E91A59">
            <w:pPr>
              <w:spacing w:before="40" w:after="40" w:line="240" w:lineRule="exact"/>
              <w:jc w:val="center"/>
              <w:rPr>
                <w:rFonts w:ascii="Times New Roman" w:hAnsi="Times New Roman" w:cs="Times New Roman"/>
                <w:sz w:val="18"/>
                <w:szCs w:val="18"/>
              </w:rPr>
            </w:pPr>
            <w:r>
              <w:rPr>
                <w:rFonts w:ascii="Times New Roman" w:hAnsi="Times New Roman" w:cs="Times New Roman"/>
                <w:sz w:val="18"/>
                <w:szCs w:val="18"/>
              </w:rPr>
              <w:t>合计</w:t>
            </w:r>
          </w:p>
        </w:tc>
        <w:tc>
          <w:tcPr>
            <w:tcW w:w="357"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400,312,143.29</w:t>
            </w:r>
          </w:p>
        </w:tc>
        <w:tc>
          <w:tcPr>
            <w:tcW w:w="333"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5,994,545.96</w:t>
            </w:r>
          </w:p>
        </w:tc>
        <w:tc>
          <w:tcPr>
            <w:tcW w:w="339" w:type="pct"/>
            <w:vAlign w:val="center"/>
          </w:tcPr>
          <w:p w:rsidR="00403CD6" w:rsidRDefault="00403CD6">
            <w:pPr>
              <w:spacing w:line="240" w:lineRule="exact"/>
              <w:jc w:val="right"/>
              <w:rPr>
                <w:rFonts w:ascii="Times New Roman" w:hAnsi="Times New Roman" w:cs="Times New Roman"/>
                <w:sz w:val="18"/>
                <w:szCs w:val="18"/>
              </w:rPr>
            </w:pPr>
          </w:p>
        </w:tc>
        <w:tc>
          <w:tcPr>
            <w:tcW w:w="380"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7,822,100.00</w:t>
            </w:r>
          </w:p>
        </w:tc>
        <w:tc>
          <w:tcPr>
            <w:tcW w:w="49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-132,754,796.54</w:t>
            </w:r>
          </w:p>
        </w:tc>
        <w:tc>
          <w:tcPr>
            <w:tcW w:w="368" w:type="pct"/>
            <w:shd w:val="clear" w:color="auto" w:fill="auto"/>
            <w:vAlign w:val="center"/>
          </w:tcPr>
          <w:p w:rsidR="00403CD6" w:rsidRDefault="00403CD6">
            <w:pPr>
              <w:jc w:val="right"/>
              <w:rPr>
                <w:rFonts w:ascii="Times New Roman" w:hAnsi="Times New Roman" w:cs="Times New Roman"/>
                <w:sz w:val="18"/>
                <w:szCs w:val="18"/>
              </w:rPr>
            </w:pPr>
          </w:p>
        </w:tc>
        <w:tc>
          <w:tcPr>
            <w:tcW w:w="275" w:type="pct"/>
            <w:vAlign w:val="center"/>
          </w:tcPr>
          <w:p w:rsidR="00403CD6" w:rsidRDefault="00403CD6">
            <w:pPr>
              <w:spacing w:line="240" w:lineRule="exact"/>
              <w:jc w:val="right"/>
              <w:rPr>
                <w:rFonts w:ascii="Times New Roman" w:hAnsi="Times New Roman" w:cs="Times New Roman"/>
                <w:sz w:val="18"/>
                <w:szCs w:val="18"/>
              </w:rPr>
            </w:pPr>
          </w:p>
        </w:tc>
        <w:tc>
          <w:tcPr>
            <w:tcW w:w="522" w:type="pct"/>
            <w:vAlign w:val="center"/>
          </w:tcPr>
          <w:p w:rsidR="00403CD6" w:rsidRDefault="00E91A59">
            <w:pPr>
              <w:spacing w:line="240" w:lineRule="exact"/>
              <w:jc w:val="right"/>
              <w:rPr>
                <w:rFonts w:ascii="Times New Roman" w:hAnsi="Times New Roman" w:cs="Times New Roman"/>
                <w:sz w:val="18"/>
                <w:szCs w:val="18"/>
              </w:rPr>
            </w:pPr>
            <w:r>
              <w:rPr>
                <w:rFonts w:ascii="Times New Roman" w:hAnsi="Times New Roman" w:cs="Times New Roman"/>
                <w:sz w:val="18"/>
                <w:szCs w:val="18"/>
              </w:rPr>
              <w:t>500,000.00</w:t>
            </w:r>
          </w:p>
        </w:tc>
        <w:tc>
          <w:tcPr>
            <w:tcW w:w="292" w:type="pct"/>
            <w:vAlign w:val="center"/>
          </w:tcPr>
          <w:p w:rsidR="00403CD6" w:rsidRDefault="00403CD6">
            <w:pPr>
              <w:spacing w:line="240" w:lineRule="exact"/>
              <w:jc w:val="right"/>
              <w:rPr>
                <w:rFonts w:ascii="Times New Roman" w:hAnsi="Times New Roman" w:cs="Times New Roman"/>
                <w:sz w:val="18"/>
                <w:szCs w:val="18"/>
              </w:rPr>
            </w:pPr>
          </w:p>
        </w:tc>
        <w:tc>
          <w:tcPr>
            <w:tcW w:w="220" w:type="pct"/>
            <w:vAlign w:val="center"/>
          </w:tcPr>
          <w:p w:rsidR="00403CD6" w:rsidRDefault="00403CD6">
            <w:pPr>
              <w:spacing w:line="240" w:lineRule="exact"/>
              <w:jc w:val="right"/>
              <w:rPr>
                <w:rFonts w:ascii="Times New Roman" w:hAnsi="Times New Roman" w:cs="Times New Roman"/>
                <w:sz w:val="18"/>
                <w:szCs w:val="18"/>
              </w:rPr>
            </w:pPr>
          </w:p>
        </w:tc>
        <w:tc>
          <w:tcPr>
            <w:tcW w:w="354"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259,235,246.75</w:t>
            </w:r>
          </w:p>
        </w:tc>
        <w:tc>
          <w:tcPr>
            <w:tcW w:w="317"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5,994,545.96</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可收回金额按公允价值减去处置费用后的净额确定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可收回金额按预计未来现金流量的现值确定</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4、营业收入和营业成本</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0"/>
        <w:gridCol w:w="2440"/>
        <w:gridCol w:w="2075"/>
        <w:gridCol w:w="1779"/>
        <w:gridCol w:w="1779"/>
      </w:tblGrid>
      <w:tr w:rsidR="00403CD6">
        <w:trPr>
          <w:trHeight w:val="284"/>
        </w:trPr>
        <w:tc>
          <w:tcPr>
            <w:tcW w:w="903"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2291"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806"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903" w:type="pct"/>
            <w:vMerge/>
            <w:vAlign w:val="center"/>
          </w:tcPr>
          <w:p w:rsidR="00403CD6" w:rsidRDefault="00403CD6">
            <w:pPr>
              <w:widowControl/>
              <w:rPr>
                <w:rFonts w:ascii="Times New Roman" w:eastAsia="宋体" w:hAnsi="Times New Roman" w:cs="Times New Roman"/>
                <w:sz w:val="18"/>
                <w:szCs w:val="18"/>
              </w:rPr>
            </w:pPr>
          </w:p>
        </w:tc>
        <w:tc>
          <w:tcPr>
            <w:tcW w:w="1238"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收入</w:t>
            </w:r>
          </w:p>
        </w:tc>
        <w:tc>
          <w:tcPr>
            <w:tcW w:w="105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成本</w:t>
            </w:r>
          </w:p>
        </w:tc>
        <w:tc>
          <w:tcPr>
            <w:tcW w:w="90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收入</w:t>
            </w:r>
          </w:p>
        </w:tc>
        <w:tc>
          <w:tcPr>
            <w:tcW w:w="90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成本</w:t>
            </w:r>
          </w:p>
        </w:tc>
      </w:tr>
      <w:tr w:rsidR="00403CD6">
        <w:trPr>
          <w:trHeight w:val="284"/>
        </w:trPr>
        <w:tc>
          <w:tcPr>
            <w:tcW w:w="903"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主营业务</w:t>
            </w:r>
          </w:p>
        </w:tc>
        <w:tc>
          <w:tcPr>
            <w:tcW w:w="123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4,647,274,143.27</w:t>
            </w:r>
          </w:p>
        </w:tc>
        <w:tc>
          <w:tcPr>
            <w:tcW w:w="105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4,671,882,008.18</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5,560,666,894.03</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5,556,483,312.72</w:t>
            </w:r>
          </w:p>
        </w:tc>
      </w:tr>
      <w:tr w:rsidR="00403CD6">
        <w:trPr>
          <w:trHeight w:val="284"/>
        </w:trPr>
        <w:tc>
          <w:tcPr>
            <w:tcW w:w="903"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其他业务</w:t>
            </w:r>
          </w:p>
        </w:tc>
        <w:tc>
          <w:tcPr>
            <w:tcW w:w="123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2,828,232,639.49</w:t>
            </w:r>
          </w:p>
        </w:tc>
        <w:tc>
          <w:tcPr>
            <w:tcW w:w="105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2,448,694,783.65</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2,018,747,725.42</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1,619,996,618.01</w:t>
            </w:r>
          </w:p>
        </w:tc>
      </w:tr>
      <w:tr w:rsidR="00403CD6">
        <w:trPr>
          <w:trHeight w:val="284"/>
        </w:trPr>
        <w:tc>
          <w:tcPr>
            <w:tcW w:w="903"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合计</w:t>
            </w:r>
          </w:p>
        </w:tc>
        <w:tc>
          <w:tcPr>
            <w:tcW w:w="1238"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7,475,506,782.76</w:t>
            </w:r>
          </w:p>
        </w:tc>
        <w:tc>
          <w:tcPr>
            <w:tcW w:w="1053" w:type="pct"/>
            <w:vAlign w:val="center"/>
          </w:tcPr>
          <w:p w:rsidR="00403CD6" w:rsidRDefault="00E91A59">
            <w:pPr>
              <w:spacing w:line="240" w:lineRule="exact"/>
              <w:jc w:val="right"/>
              <w:rPr>
                <w:rFonts w:ascii="Times New Roman" w:hAnsi="Times New Roman" w:cs="Times New Roman"/>
                <w:color w:val="000000"/>
                <w:sz w:val="18"/>
                <w:szCs w:val="18"/>
              </w:rPr>
            </w:pPr>
            <w:r>
              <w:rPr>
                <w:rFonts w:ascii="Times New Roman" w:hAnsi="Times New Roman" w:cs="Times New Roman"/>
                <w:color w:val="000000"/>
                <w:sz w:val="18"/>
                <w:szCs w:val="18"/>
              </w:rPr>
              <w:t xml:space="preserve">7,120,576,791.83 </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7,579,414,619.45</w:t>
            </w:r>
          </w:p>
        </w:tc>
        <w:tc>
          <w:tcPr>
            <w:tcW w:w="903" w:type="pct"/>
            <w:vAlign w:val="center"/>
          </w:tcPr>
          <w:p w:rsidR="00403CD6" w:rsidRDefault="00E91A59">
            <w:pPr>
              <w:spacing w:line="240" w:lineRule="exact"/>
              <w:jc w:val="right"/>
              <w:rPr>
                <w:rFonts w:ascii="Times New Roman" w:eastAsia="宋体" w:hAnsi="Times New Roman" w:cs="Times New Roman"/>
                <w:sz w:val="18"/>
                <w:szCs w:val="18"/>
              </w:rPr>
            </w:pPr>
            <w:r>
              <w:rPr>
                <w:rFonts w:ascii="Times New Roman" w:hAnsi="Times New Roman" w:cs="Times New Roman"/>
                <w:color w:val="000000"/>
                <w:sz w:val="18"/>
                <w:szCs w:val="18"/>
              </w:rPr>
              <w:t>7,176,479,930.73</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营业收入、营业成本的分解信息：</w:t>
      </w:r>
    </w:p>
    <w:p w:rsidR="00403CD6" w:rsidRDefault="00E91A59">
      <w:pPr>
        <w:spacing w:before="40" w:after="40" w:line="240" w:lineRule="exact"/>
        <w:jc w:val="right"/>
        <w:rPr>
          <w:rFonts w:ascii="Times New Roman" w:hAnsi="Times New Roman" w:cs="Times New Roman"/>
          <w:sz w:val="18"/>
          <w:szCs w:val="18"/>
        </w:rPr>
      </w:pPr>
      <w:r>
        <w:rPr>
          <w:rFonts w:ascii="Times New Roman" w:hAnsi="Times New Roman" w:cs="Times New Roman"/>
          <w:sz w:val="18"/>
          <w:szCs w:val="18"/>
        </w:rPr>
        <w:t>单位：元</w:t>
      </w:r>
    </w:p>
    <w:tbl>
      <w:tblPr>
        <w:tblW w:w="5000" w:type="pct"/>
        <w:tblLayout w:type="fixed"/>
        <w:tblCellMar>
          <w:left w:w="28" w:type="dxa"/>
          <w:right w:w="28" w:type="dxa"/>
        </w:tblCellMar>
        <w:tblLook w:val="04A0" w:firstRow="1" w:lastRow="0" w:firstColumn="1" w:lastColumn="0" w:noHBand="0" w:noVBand="1"/>
      </w:tblPr>
      <w:tblGrid>
        <w:gridCol w:w="1304"/>
        <w:gridCol w:w="1419"/>
        <w:gridCol w:w="1132"/>
        <w:gridCol w:w="1559"/>
        <w:gridCol w:w="1427"/>
        <w:gridCol w:w="1427"/>
        <w:gridCol w:w="1425"/>
      </w:tblGrid>
      <w:tr w:rsidR="00403CD6">
        <w:trPr>
          <w:trHeight w:val="300"/>
        </w:trPr>
        <w:tc>
          <w:tcPr>
            <w:tcW w:w="673" w:type="pct"/>
            <w:vMerge w:val="restart"/>
            <w:tcBorders>
              <w:top w:val="single" w:sz="4" w:space="0" w:color="auto"/>
              <w:left w:val="single" w:sz="4" w:space="0" w:color="auto"/>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合同分类</w:t>
            </w:r>
          </w:p>
        </w:tc>
        <w:tc>
          <w:tcPr>
            <w:tcW w:w="1316" w:type="pct"/>
            <w:gridSpan w:val="2"/>
            <w:tcBorders>
              <w:top w:val="single" w:sz="4" w:space="0" w:color="auto"/>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机制纸</w:t>
            </w:r>
          </w:p>
        </w:tc>
        <w:tc>
          <w:tcPr>
            <w:tcW w:w="1540" w:type="pct"/>
            <w:gridSpan w:val="2"/>
            <w:tcBorders>
              <w:top w:val="single" w:sz="4" w:space="0" w:color="auto"/>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其他</w:t>
            </w:r>
          </w:p>
        </w:tc>
        <w:tc>
          <w:tcPr>
            <w:tcW w:w="1471" w:type="pct"/>
            <w:gridSpan w:val="2"/>
            <w:tcBorders>
              <w:top w:val="single" w:sz="4" w:space="0" w:color="auto"/>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合计</w:t>
            </w:r>
          </w:p>
        </w:tc>
      </w:tr>
      <w:tr w:rsidR="00403CD6">
        <w:trPr>
          <w:trHeight w:val="270"/>
        </w:trPr>
        <w:tc>
          <w:tcPr>
            <w:tcW w:w="673" w:type="pct"/>
            <w:vMerge/>
            <w:tcBorders>
              <w:top w:val="single" w:sz="4" w:space="0" w:color="auto"/>
              <w:left w:val="single" w:sz="4" w:space="0" w:color="auto"/>
              <w:bottom w:val="single" w:sz="4" w:space="0" w:color="auto"/>
              <w:right w:val="single" w:sz="4" w:space="0" w:color="auto"/>
            </w:tcBorders>
            <w:vAlign w:val="center"/>
          </w:tcPr>
          <w:p w:rsidR="00403CD6" w:rsidRDefault="00403CD6">
            <w:pPr>
              <w:widowControl/>
              <w:rPr>
                <w:rFonts w:ascii="Times New Roman" w:eastAsia="宋体" w:hAnsi="Times New Roman" w:cs="Times New Roman"/>
                <w:color w:val="000000"/>
                <w:kern w:val="0"/>
                <w:sz w:val="18"/>
                <w:szCs w:val="18"/>
              </w:rPr>
            </w:pPr>
          </w:p>
        </w:tc>
        <w:tc>
          <w:tcPr>
            <w:tcW w:w="732"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营业收入</w:t>
            </w:r>
          </w:p>
        </w:tc>
        <w:tc>
          <w:tcPr>
            <w:tcW w:w="584"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营业成本</w:t>
            </w:r>
          </w:p>
        </w:tc>
        <w:tc>
          <w:tcPr>
            <w:tcW w:w="804"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营业收入</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营业成本</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营业收入</w:t>
            </w:r>
          </w:p>
        </w:tc>
        <w:tc>
          <w:tcPr>
            <w:tcW w:w="735" w:type="pct"/>
            <w:tcBorders>
              <w:top w:val="nil"/>
              <w:left w:val="nil"/>
              <w:bottom w:val="single" w:sz="4" w:space="0" w:color="auto"/>
              <w:right w:val="single" w:sz="4" w:space="0" w:color="auto"/>
            </w:tcBorders>
            <w:shd w:val="clear" w:color="000000" w:fill="D3D3D3"/>
            <w:vAlign w:val="center"/>
          </w:tcPr>
          <w:p w:rsidR="00403CD6" w:rsidRDefault="00E91A59">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营业成本</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业务类型</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7,120,045,573.77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7,037,629,000.64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7,475,506,782.76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7,120,576,791.83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其中：</w:t>
            </w:r>
          </w:p>
        </w:tc>
        <w:tc>
          <w:tcPr>
            <w:tcW w:w="732"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58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80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5"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r>
      <w:tr w:rsidR="00403CD6">
        <w:trPr>
          <w:trHeight w:val="285"/>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机制纸</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4,647,274,143.27 </w:t>
            </w:r>
          </w:p>
        </w:tc>
        <w:tc>
          <w:tcPr>
            <w:tcW w:w="584" w:type="pct"/>
            <w:tcBorders>
              <w:top w:val="nil"/>
              <w:left w:val="nil"/>
              <w:bottom w:val="single" w:sz="4" w:space="0" w:color="auto"/>
              <w:right w:val="single" w:sz="4" w:space="0" w:color="auto"/>
            </w:tcBorders>
            <w:shd w:val="clear" w:color="auto" w:fill="auto"/>
            <w:noWrap/>
            <w:vAlign w:val="bottom"/>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4,671,882,008</w:t>
            </w:r>
            <w:r>
              <w:rPr>
                <w:rFonts w:ascii="Times New Roman" w:hAnsi="Times New Roman" w:cs="Times New Roman"/>
                <w:sz w:val="18"/>
                <w:szCs w:val="18"/>
              </w:rPr>
              <w:lastRenderedPageBreak/>
              <w:t xml:space="preserve">.18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lastRenderedPageBreak/>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4,647,274,143.27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4,671,882,008.18 </w:t>
            </w:r>
          </w:p>
        </w:tc>
      </w:tr>
      <w:tr w:rsidR="00403CD6">
        <w:trPr>
          <w:trHeight w:val="285"/>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lastRenderedPageBreak/>
              <w:t>其他</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2,472,771,430.50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2,365,746,992.46 </w:t>
            </w:r>
          </w:p>
        </w:tc>
        <w:tc>
          <w:tcPr>
            <w:tcW w:w="804" w:type="pct"/>
            <w:tcBorders>
              <w:top w:val="nil"/>
              <w:left w:val="nil"/>
              <w:bottom w:val="single" w:sz="4" w:space="0" w:color="auto"/>
              <w:right w:val="single" w:sz="4" w:space="0" w:color="auto"/>
            </w:tcBorders>
            <w:shd w:val="clear" w:color="auto" w:fill="auto"/>
            <w:noWrap/>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nil"/>
              <w:left w:val="nil"/>
              <w:bottom w:val="single" w:sz="4" w:space="0" w:color="auto"/>
              <w:right w:val="single" w:sz="4" w:space="0" w:color="auto"/>
            </w:tcBorders>
            <w:shd w:val="clear" w:color="auto" w:fill="auto"/>
            <w:noWrap/>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2,828,232,639.49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2,448,694,783.65 </w:t>
            </w:r>
          </w:p>
        </w:tc>
      </w:tr>
      <w:tr w:rsidR="00403CD6">
        <w:trPr>
          <w:trHeight w:val="270"/>
        </w:trPr>
        <w:tc>
          <w:tcPr>
            <w:tcW w:w="67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按经营地区分类</w:t>
            </w:r>
          </w:p>
        </w:tc>
        <w:tc>
          <w:tcPr>
            <w:tcW w:w="732"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7,120,045,573.77 </w:t>
            </w:r>
          </w:p>
        </w:tc>
        <w:tc>
          <w:tcPr>
            <w:tcW w:w="584"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7,037,629,000.64 </w:t>
            </w:r>
          </w:p>
        </w:tc>
        <w:tc>
          <w:tcPr>
            <w:tcW w:w="804"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7,475,506,782.76 </w:t>
            </w:r>
          </w:p>
        </w:tc>
        <w:tc>
          <w:tcPr>
            <w:tcW w:w="735" w:type="pct"/>
            <w:tcBorders>
              <w:top w:val="single" w:sz="4" w:space="0" w:color="auto"/>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7,120,576,791.83  </w:t>
            </w:r>
          </w:p>
        </w:tc>
      </w:tr>
      <w:tr w:rsidR="00403CD6">
        <w:trPr>
          <w:trHeight w:val="270"/>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其中：</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p>
        </w:tc>
      </w:tr>
      <w:tr w:rsidR="00403CD6">
        <w:trPr>
          <w:trHeight w:val="270"/>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中国大陆</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6,334,195,700.16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6,134,340,692.53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color w:val="000000" w:themeColor="text1"/>
                <w:sz w:val="18"/>
                <w:szCs w:val="18"/>
              </w:rPr>
              <w:t xml:space="preserve">6,689,656,909.15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6,217,288,483.72 </w:t>
            </w:r>
          </w:p>
        </w:tc>
      </w:tr>
      <w:tr w:rsidR="00403CD6">
        <w:trPr>
          <w:trHeight w:val="270"/>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其他国家和地区</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20"/>
                <w:szCs w:val="20"/>
              </w:rPr>
            </w:pPr>
            <w:r>
              <w:rPr>
                <w:rFonts w:ascii="Times New Roman" w:hAnsi="Times New Roman" w:cs="Times New Roman"/>
                <w:color w:val="000000" w:themeColor="text1"/>
                <w:sz w:val="18"/>
                <w:szCs w:val="18"/>
              </w:rPr>
              <w:t>785,849,873.61</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20"/>
                <w:szCs w:val="20"/>
              </w:rPr>
            </w:pPr>
            <w:r>
              <w:rPr>
                <w:rFonts w:ascii="Times New Roman" w:hAnsi="Times New Roman" w:cs="Times New Roman"/>
                <w:sz w:val="18"/>
                <w:szCs w:val="18"/>
              </w:rPr>
              <w:t xml:space="preserve">    903,288,308.11 </w:t>
            </w:r>
          </w:p>
        </w:tc>
        <w:tc>
          <w:tcPr>
            <w:tcW w:w="804" w:type="pct"/>
            <w:tcBorders>
              <w:top w:val="nil"/>
              <w:left w:val="nil"/>
              <w:bottom w:val="single" w:sz="4" w:space="0" w:color="auto"/>
              <w:right w:val="single" w:sz="4" w:space="0" w:color="auto"/>
            </w:tcBorders>
            <w:shd w:val="clear" w:color="auto" w:fill="auto"/>
            <w:vAlign w:val="center"/>
          </w:tcPr>
          <w:p w:rsidR="00403CD6" w:rsidRDefault="00403CD6">
            <w:pPr>
              <w:widowControl/>
              <w:jc w:val="right"/>
              <w:rPr>
                <w:rFonts w:ascii="Times New Roman" w:eastAsia="宋体" w:hAnsi="Times New Roman" w:cs="Times New Roman"/>
                <w:color w:val="000000"/>
                <w:kern w:val="0"/>
                <w:sz w:val="20"/>
                <w:szCs w:val="20"/>
              </w:rPr>
            </w:pPr>
          </w:p>
        </w:tc>
        <w:tc>
          <w:tcPr>
            <w:tcW w:w="736" w:type="pct"/>
            <w:tcBorders>
              <w:top w:val="nil"/>
              <w:left w:val="nil"/>
              <w:bottom w:val="single" w:sz="4" w:space="0" w:color="auto"/>
              <w:right w:val="single" w:sz="4" w:space="0" w:color="auto"/>
            </w:tcBorders>
            <w:shd w:val="clear" w:color="auto" w:fill="auto"/>
            <w:vAlign w:val="center"/>
          </w:tcPr>
          <w:p w:rsidR="00403CD6" w:rsidRDefault="00403CD6">
            <w:pPr>
              <w:widowControl/>
              <w:jc w:val="right"/>
              <w:rPr>
                <w:rFonts w:ascii="Times New Roman" w:eastAsia="宋体" w:hAnsi="Times New Roman" w:cs="Times New Roman"/>
                <w:color w:val="000000"/>
                <w:kern w:val="0"/>
                <w:sz w:val="20"/>
                <w:szCs w:val="20"/>
              </w:rPr>
            </w:pP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20"/>
                <w:szCs w:val="20"/>
              </w:rPr>
            </w:pPr>
            <w:r>
              <w:rPr>
                <w:rFonts w:ascii="Times New Roman" w:hAnsi="Times New Roman" w:cs="Times New Roman"/>
                <w:color w:val="000000" w:themeColor="text1"/>
                <w:sz w:val="18"/>
                <w:szCs w:val="18"/>
              </w:rPr>
              <w:t>785,849,873.61</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20"/>
                <w:szCs w:val="20"/>
              </w:rPr>
            </w:pPr>
            <w:r>
              <w:rPr>
                <w:rFonts w:ascii="Times New Roman" w:hAnsi="Times New Roman" w:cs="Times New Roman"/>
                <w:sz w:val="18"/>
                <w:szCs w:val="18"/>
              </w:rPr>
              <w:t xml:space="preserve">    903,288,308.11 </w:t>
            </w:r>
          </w:p>
        </w:tc>
      </w:tr>
      <w:tr w:rsidR="00403CD6">
        <w:trPr>
          <w:trHeight w:val="480"/>
        </w:trPr>
        <w:tc>
          <w:tcPr>
            <w:tcW w:w="673" w:type="pct"/>
            <w:tcBorders>
              <w:top w:val="nil"/>
              <w:left w:val="single" w:sz="4" w:space="0" w:color="auto"/>
              <w:bottom w:val="single" w:sz="4" w:space="0" w:color="auto"/>
              <w:right w:val="single" w:sz="4" w:space="0" w:color="auto"/>
            </w:tcBorders>
            <w:shd w:val="clear" w:color="auto" w:fill="auto"/>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按商品转让的时间分类</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7,120,045,573.77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7,037,629,000.64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7,475,506,782.76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7,120,576,791.83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其中：</w:t>
            </w:r>
          </w:p>
        </w:tc>
        <w:tc>
          <w:tcPr>
            <w:tcW w:w="732"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58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80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5"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r>
      <w:tr w:rsidR="00403CD6">
        <w:trPr>
          <w:trHeight w:val="48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商品（在某一时转让）</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6,935,617,089.28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6,873,201,959.62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100,949,449.84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73,027,745.58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7,036,566,539.12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6,946,229,705.20  </w:t>
            </w:r>
          </w:p>
        </w:tc>
      </w:tr>
      <w:tr w:rsidR="00403CD6">
        <w:trPr>
          <w:trHeight w:val="48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服务（在某一时段内提供）</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184,428,484.49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164,427,041.02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254,511,759.15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9,920,045.61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438,940,243.64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174,347,086.63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按销售渠道分类</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7,120,045,573.77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7,037,629,000.64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355,461,208.99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spacing w:before="100" w:beforeAutospacing="1" w:after="100" w:afterAutospacing="1"/>
              <w:jc w:val="right"/>
              <w:rPr>
                <w:rFonts w:ascii="Times New Roman" w:eastAsia="宋体" w:hAnsi="Times New Roman" w:cs="Times New Roman"/>
                <w:color w:val="000000"/>
                <w:kern w:val="0"/>
                <w:sz w:val="18"/>
                <w:szCs w:val="18"/>
              </w:rPr>
            </w:pPr>
            <w:r w:rsidRPr="004E1CA6">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7,475,506,782.76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7,120,576,791.83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其中：</w:t>
            </w:r>
          </w:p>
        </w:tc>
        <w:tc>
          <w:tcPr>
            <w:tcW w:w="732"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58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804"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6"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c>
          <w:tcPr>
            <w:tcW w:w="735" w:type="pct"/>
            <w:tcBorders>
              <w:top w:val="nil"/>
              <w:left w:val="nil"/>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经销</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4,646,159,244.37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4,670,752,317.89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 xml:space="preserve">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4,646,159,244.37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4,670,752,317.89 </w:t>
            </w:r>
          </w:p>
        </w:tc>
      </w:tr>
      <w:tr w:rsidR="00403CD6">
        <w:trPr>
          <w:trHeight w:val="270"/>
        </w:trPr>
        <w:tc>
          <w:tcPr>
            <w:tcW w:w="673" w:type="pct"/>
            <w:tcBorders>
              <w:top w:val="nil"/>
              <w:left w:val="single" w:sz="4" w:space="0" w:color="auto"/>
              <w:bottom w:val="single" w:sz="4" w:space="0" w:color="auto"/>
              <w:right w:val="single" w:sz="4" w:space="0" w:color="auto"/>
            </w:tcBorders>
            <w:shd w:val="clear" w:color="000000" w:fill="D3D3D3"/>
            <w:vAlign w:val="center"/>
          </w:tcPr>
          <w:p w:rsidR="00403CD6" w:rsidRDefault="00E91A59">
            <w:pPr>
              <w:widowControl/>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直销</w:t>
            </w:r>
          </w:p>
        </w:tc>
        <w:tc>
          <w:tcPr>
            <w:tcW w:w="732"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2,473,886,329.40 </w:t>
            </w:r>
          </w:p>
        </w:tc>
        <w:tc>
          <w:tcPr>
            <w:tcW w:w="58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2,366,876,682.75 </w:t>
            </w:r>
          </w:p>
        </w:tc>
        <w:tc>
          <w:tcPr>
            <w:tcW w:w="804"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355,461,208.99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82,947,791.19 </w:t>
            </w:r>
          </w:p>
        </w:tc>
        <w:tc>
          <w:tcPr>
            <w:tcW w:w="736"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2,829,347,538.39 </w:t>
            </w:r>
          </w:p>
        </w:tc>
        <w:tc>
          <w:tcPr>
            <w:tcW w:w="735" w:type="pct"/>
            <w:tcBorders>
              <w:top w:val="nil"/>
              <w:left w:val="nil"/>
              <w:bottom w:val="single" w:sz="4" w:space="0" w:color="auto"/>
              <w:right w:val="single" w:sz="4" w:space="0" w:color="auto"/>
            </w:tcBorders>
            <w:shd w:val="clear" w:color="auto" w:fill="auto"/>
            <w:vAlign w:val="center"/>
          </w:tcPr>
          <w:p w:rsidR="00403CD6" w:rsidRDefault="00E91A59">
            <w:pPr>
              <w:widowControl/>
              <w:jc w:val="right"/>
              <w:rPr>
                <w:rFonts w:ascii="Times New Roman" w:eastAsia="宋体" w:hAnsi="Times New Roman" w:cs="Times New Roman"/>
                <w:color w:val="000000"/>
                <w:kern w:val="0"/>
                <w:sz w:val="18"/>
                <w:szCs w:val="18"/>
              </w:rPr>
            </w:pPr>
            <w:r>
              <w:rPr>
                <w:rFonts w:ascii="Times New Roman" w:hAnsi="Times New Roman" w:cs="Times New Roman"/>
                <w:sz w:val="18"/>
                <w:szCs w:val="18"/>
              </w:rPr>
              <w:t xml:space="preserve"> 2,449,824,473.94 </w:t>
            </w: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与履约义务相关的信息：</w:t>
      </w:r>
    </w:p>
    <w:p w:rsidR="00403CD6" w:rsidRDefault="00403CD6">
      <w:pPr>
        <w:spacing w:line="0" w:lineRule="atLeas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
        <w:gridCol w:w="1843"/>
        <w:gridCol w:w="1709"/>
        <w:gridCol w:w="1125"/>
        <w:gridCol w:w="849"/>
        <w:gridCol w:w="1561"/>
        <w:gridCol w:w="2089"/>
      </w:tblGrid>
      <w:tr w:rsidR="00403CD6">
        <w:trPr>
          <w:trHeight w:val="284"/>
        </w:trPr>
        <w:tc>
          <w:tcPr>
            <w:tcW w:w="344"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93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履行履约义务的时间</w:t>
            </w:r>
          </w:p>
        </w:tc>
        <w:tc>
          <w:tcPr>
            <w:tcW w:w="867"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重要的支付条款</w:t>
            </w:r>
          </w:p>
        </w:tc>
        <w:tc>
          <w:tcPr>
            <w:tcW w:w="57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公司承诺转让商品的性质</w:t>
            </w:r>
          </w:p>
        </w:tc>
        <w:tc>
          <w:tcPr>
            <w:tcW w:w="43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是否为主要责任人</w:t>
            </w:r>
          </w:p>
        </w:tc>
        <w:tc>
          <w:tcPr>
            <w:tcW w:w="79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公司承担的预期将退还给客户的款项</w:t>
            </w:r>
          </w:p>
        </w:tc>
        <w:tc>
          <w:tcPr>
            <w:tcW w:w="106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公司提供的质量保证类型及相关义务</w:t>
            </w:r>
          </w:p>
        </w:tc>
      </w:tr>
      <w:tr w:rsidR="00403CD6">
        <w:trPr>
          <w:trHeight w:val="284"/>
        </w:trPr>
        <w:tc>
          <w:tcPr>
            <w:tcW w:w="344"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机制纸</w:t>
            </w:r>
          </w:p>
        </w:tc>
        <w:tc>
          <w:tcPr>
            <w:tcW w:w="935"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国内销售在交付客户的当天；国外销售在办理报关的当天</w:t>
            </w:r>
          </w:p>
        </w:tc>
        <w:tc>
          <w:tcPr>
            <w:tcW w:w="867"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国内销售多提供账期；国外销售多为预付货款</w:t>
            </w:r>
          </w:p>
        </w:tc>
        <w:tc>
          <w:tcPr>
            <w:tcW w:w="571"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可明确区分的商品</w:t>
            </w:r>
          </w:p>
        </w:tc>
        <w:tc>
          <w:tcPr>
            <w:tcW w:w="431"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是</w:t>
            </w:r>
          </w:p>
        </w:tc>
        <w:tc>
          <w:tcPr>
            <w:tcW w:w="792"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无</w:t>
            </w:r>
          </w:p>
        </w:tc>
        <w:tc>
          <w:tcPr>
            <w:tcW w:w="1061" w:type="pct"/>
            <w:vAlign w:val="center"/>
          </w:tcPr>
          <w:p w:rsidR="00403CD6" w:rsidRDefault="00E91A59">
            <w:pPr>
              <w:spacing w:line="240" w:lineRule="exact"/>
              <w:rPr>
                <w:rFonts w:ascii="Times New Roman" w:eastAsia="宋体" w:hAnsi="Times New Roman" w:cs="Times New Roman"/>
                <w:sz w:val="18"/>
                <w:szCs w:val="18"/>
              </w:rPr>
            </w:pPr>
            <w:r>
              <w:rPr>
                <w:rFonts w:hint="eastAsia"/>
                <w:color w:val="000000"/>
                <w:sz w:val="18"/>
                <w:szCs w:val="18"/>
              </w:rPr>
              <w:t>保证类质量保证，到货</w:t>
            </w:r>
            <w:r>
              <w:rPr>
                <w:rFonts w:ascii="Times New Roman" w:hAnsi="Times New Roman" w:cs="Times New Roman"/>
                <w:color w:val="000000"/>
                <w:sz w:val="18"/>
                <w:szCs w:val="18"/>
              </w:rPr>
              <w:t>7</w:t>
            </w:r>
            <w:r>
              <w:rPr>
                <w:rFonts w:hint="eastAsia"/>
                <w:color w:val="000000"/>
                <w:sz w:val="18"/>
                <w:szCs w:val="18"/>
              </w:rPr>
              <w:t>日内对产品质量提出异议可以退换货</w:t>
            </w:r>
          </w:p>
        </w:tc>
      </w:tr>
    </w:tbl>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其他说明：本公司机制纸销售履约义务通常的履约时间在</w:t>
      </w:r>
      <w:r>
        <w:rPr>
          <w:rFonts w:ascii="Times New Roman" w:eastAsia="宋体" w:hAnsi="Times New Roman" w:cs="Times New Roman"/>
          <w:sz w:val="18"/>
          <w:szCs w:val="18"/>
        </w:rPr>
        <w:t>1</w:t>
      </w:r>
      <w:r>
        <w:rPr>
          <w:rFonts w:ascii="Times New Roman" w:eastAsia="宋体" w:hAnsi="Times New Roman" w:cs="Times New Roman"/>
          <w:sz w:val="18"/>
          <w:szCs w:val="18"/>
        </w:rPr>
        <w:t>年以内，本公司根据不同客户采取预收款或提供信用账期。本公司作为主要责任人进行销售，一般在发货的同时或者将货物送达客户指定的目的地，商品控制权转移给客户时，本公司取得无条件收款权利。</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与分摊至剩余履约义务的交易价格相关的信息：</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本报告</w:t>
      </w:r>
      <w:proofErr w:type="gramStart"/>
      <w:r>
        <w:rPr>
          <w:rFonts w:ascii="Times New Roman" w:eastAsia="宋体" w:hAnsi="Times New Roman" w:cs="Times New Roman"/>
          <w:sz w:val="18"/>
          <w:szCs w:val="18"/>
        </w:rPr>
        <w:t>期末已</w:t>
      </w:r>
      <w:proofErr w:type="gramEnd"/>
      <w:r>
        <w:rPr>
          <w:rFonts w:ascii="Times New Roman" w:eastAsia="宋体" w:hAnsi="Times New Roman" w:cs="Times New Roman"/>
          <w:sz w:val="18"/>
          <w:szCs w:val="18"/>
        </w:rPr>
        <w:t>签订合同、但尚未履行或尚未履行完毕的履约义务所对应的收入金额为</w:t>
      </w:r>
      <w:r>
        <w:rPr>
          <w:rFonts w:ascii="Times New Roman" w:eastAsia="宋体" w:hAnsi="Times New Roman" w:cs="Times New Roman"/>
          <w:sz w:val="18"/>
          <w:szCs w:val="18"/>
        </w:rPr>
        <w:t xml:space="preserve"> 1,795,549,425.1</w:t>
      </w:r>
      <w:r>
        <w:rPr>
          <w:rFonts w:ascii="Times New Roman" w:eastAsia="宋体" w:hAnsi="Times New Roman" w:cs="Times New Roman" w:hint="eastAsia"/>
          <w:sz w:val="18"/>
          <w:szCs w:val="18"/>
        </w:rPr>
        <w:t>0</w:t>
      </w:r>
      <w:r>
        <w:rPr>
          <w:rFonts w:ascii="Times New Roman" w:eastAsia="宋体" w:hAnsi="Times New Roman" w:cs="Times New Roman"/>
          <w:sz w:val="18"/>
          <w:szCs w:val="18"/>
        </w:rPr>
        <w:t>元，其中，</w:t>
      </w:r>
      <w:r>
        <w:rPr>
          <w:rFonts w:ascii="Times New Roman" w:eastAsia="宋体" w:hAnsi="Times New Roman" w:cs="Times New Roman"/>
          <w:sz w:val="18"/>
          <w:szCs w:val="18"/>
        </w:rPr>
        <w:t xml:space="preserve"> 1,795,549,425.1</w:t>
      </w:r>
      <w:r>
        <w:rPr>
          <w:rFonts w:ascii="Times New Roman" w:eastAsia="宋体" w:hAnsi="Times New Roman" w:cs="Times New Roman" w:hint="eastAsia"/>
          <w:sz w:val="18"/>
          <w:szCs w:val="18"/>
        </w:rPr>
        <w:t>0</w:t>
      </w:r>
      <w:r>
        <w:rPr>
          <w:rFonts w:ascii="Times New Roman" w:eastAsia="宋体" w:hAnsi="Times New Roman" w:cs="Times New Roman"/>
          <w:sz w:val="18"/>
          <w:szCs w:val="18"/>
        </w:rPr>
        <w:t xml:space="preserve">  </w:t>
      </w:r>
      <w:r>
        <w:rPr>
          <w:rFonts w:ascii="Times New Roman" w:eastAsia="宋体" w:hAnsi="Times New Roman" w:cs="Times New Roman"/>
          <w:sz w:val="18"/>
          <w:szCs w:val="18"/>
        </w:rPr>
        <w:t>元预计将于</w:t>
      </w:r>
      <w:r>
        <w:rPr>
          <w:rFonts w:ascii="Times New Roman" w:eastAsia="宋体" w:hAnsi="Times New Roman" w:cs="Times New Roman"/>
          <w:sz w:val="18"/>
          <w:szCs w:val="18"/>
        </w:rPr>
        <w:t xml:space="preserve"> 2025 </w:t>
      </w:r>
      <w:r>
        <w:rPr>
          <w:rFonts w:ascii="Times New Roman" w:eastAsia="宋体" w:hAnsi="Times New Roman" w:cs="Times New Roman"/>
          <w:sz w:val="18"/>
          <w:szCs w:val="18"/>
        </w:rPr>
        <w:t>年度确认收入。</w:t>
      </w:r>
    </w:p>
    <w:p w:rsidR="00403CD6" w:rsidRDefault="00E91A59">
      <w:pPr>
        <w:keepNext/>
        <w:keepLines/>
        <w:spacing w:before="300" w:after="300" w:line="280" w:lineRule="exact"/>
        <w:outlineLvl w:val="2"/>
        <w:rPr>
          <w:rFonts w:ascii="宋体" w:eastAsia="宋体" w:hAnsi="宋体" w:cs="宋体"/>
          <w:b/>
          <w:bCs/>
          <w:szCs w:val="21"/>
        </w:rPr>
      </w:pPr>
      <w:r>
        <w:rPr>
          <w:rFonts w:ascii="宋体" w:eastAsia="宋体" w:hAnsi="宋体" w:cs="宋体" w:hint="eastAsia"/>
          <w:b/>
          <w:bCs/>
          <w:szCs w:val="21"/>
        </w:rPr>
        <w:t>5、投资收益</w:t>
      </w:r>
    </w:p>
    <w:p w:rsidR="00403CD6" w:rsidRDefault="00E91A59">
      <w:pPr>
        <w:spacing w:before="4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3"/>
        <w:gridCol w:w="2779"/>
        <w:gridCol w:w="3281"/>
      </w:tblGrid>
      <w:tr w:rsidR="00403CD6">
        <w:trPr>
          <w:trHeight w:val="284"/>
        </w:trPr>
        <w:tc>
          <w:tcPr>
            <w:tcW w:w="192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1410"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本期发生额</w:t>
            </w:r>
          </w:p>
        </w:tc>
        <w:tc>
          <w:tcPr>
            <w:tcW w:w="166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上期发生额</w:t>
            </w:r>
          </w:p>
        </w:tc>
      </w:tr>
      <w:tr w:rsidR="00403CD6">
        <w:trPr>
          <w:trHeight w:val="284"/>
        </w:trPr>
        <w:tc>
          <w:tcPr>
            <w:tcW w:w="192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成本法核算的长期股权投资收益</w:t>
            </w:r>
          </w:p>
        </w:tc>
        <w:tc>
          <w:tcPr>
            <w:tcW w:w="141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47,000,000.00</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88,000,000.00</w:t>
            </w:r>
          </w:p>
        </w:tc>
      </w:tr>
      <w:tr w:rsidR="00403CD6">
        <w:trPr>
          <w:trHeight w:val="284"/>
        </w:trPr>
        <w:tc>
          <w:tcPr>
            <w:tcW w:w="192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权益法核算的长期股权投资收益</w:t>
            </w:r>
          </w:p>
        </w:tc>
        <w:tc>
          <w:tcPr>
            <w:tcW w:w="141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-132,754,796.54</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99,693,847.76</w:t>
            </w:r>
          </w:p>
        </w:tc>
      </w:tr>
      <w:tr w:rsidR="00403CD6">
        <w:trPr>
          <w:trHeight w:val="284"/>
        </w:trPr>
        <w:tc>
          <w:tcPr>
            <w:tcW w:w="192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处置长期股权投资产生的投资收益</w:t>
            </w:r>
          </w:p>
        </w:tc>
        <w:tc>
          <w:tcPr>
            <w:tcW w:w="1410" w:type="pct"/>
            <w:shd w:val="clear" w:color="auto" w:fill="auto"/>
            <w:vAlign w:val="center"/>
          </w:tcPr>
          <w:p w:rsidR="00403CD6" w:rsidRDefault="00403CD6">
            <w:pPr>
              <w:jc w:val="right"/>
              <w:rPr>
                <w:rFonts w:ascii="Times New Roman" w:hAnsi="Times New Roman" w:cs="Times New Roman"/>
                <w:sz w:val="18"/>
                <w:szCs w:val="18"/>
              </w:rPr>
            </w:pP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215,506,789.79</w:t>
            </w:r>
          </w:p>
        </w:tc>
      </w:tr>
      <w:tr w:rsidR="00403CD6">
        <w:trPr>
          <w:trHeight w:val="284"/>
        </w:trPr>
        <w:tc>
          <w:tcPr>
            <w:tcW w:w="1925" w:type="pct"/>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金融资产终止确认产生的投资收益</w:t>
            </w:r>
          </w:p>
        </w:tc>
        <w:tc>
          <w:tcPr>
            <w:tcW w:w="141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-17,770,062.57</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-47,421,175.71</w:t>
            </w:r>
          </w:p>
        </w:tc>
      </w:tr>
      <w:tr w:rsidR="00403CD6">
        <w:trPr>
          <w:trHeight w:val="284"/>
        </w:trPr>
        <w:tc>
          <w:tcPr>
            <w:tcW w:w="1925" w:type="pct"/>
            <w:tcBorders>
              <w:bottom w:val="single" w:sz="4" w:space="0" w:color="auto"/>
            </w:tcBorders>
            <w:shd w:val="clear" w:color="auto" w:fill="auto"/>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其他非流动金融资产持有期间的投资收益</w:t>
            </w:r>
          </w:p>
        </w:tc>
        <w:tc>
          <w:tcPr>
            <w:tcW w:w="141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1,298,463.59</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1,867,060.62</w:t>
            </w:r>
          </w:p>
        </w:tc>
      </w:tr>
      <w:tr w:rsidR="00403CD6">
        <w:trPr>
          <w:trHeight w:val="284"/>
        </w:trPr>
        <w:tc>
          <w:tcPr>
            <w:tcW w:w="1925" w:type="pct"/>
            <w:shd w:val="clear" w:color="auto" w:fill="D9D9D9" w:themeFill="background1" w:themeFillShade="D9"/>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合计</w:t>
            </w:r>
          </w:p>
        </w:tc>
        <w:tc>
          <w:tcPr>
            <w:tcW w:w="1410"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-102,226,395.52</w:t>
            </w:r>
          </w:p>
        </w:tc>
        <w:tc>
          <w:tcPr>
            <w:tcW w:w="1665"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357,646,522.46</w:t>
            </w:r>
          </w:p>
        </w:tc>
      </w:tr>
    </w:tbl>
    <w:p w:rsidR="00403CD6" w:rsidRDefault="00E91A59">
      <w:pPr>
        <w:pStyle w:val="2"/>
        <w:spacing w:before="300" w:after="300" w:line="320" w:lineRule="exact"/>
        <w:rPr>
          <w:rFonts w:ascii="宋体" w:eastAsia="宋体" w:hAnsi="宋体" w:cs="宋体"/>
          <w:b/>
          <w:bCs/>
          <w:sz w:val="24"/>
          <w:szCs w:val="24"/>
        </w:rPr>
      </w:pPr>
      <w:bookmarkStart w:id="189" w:name="_Toc989570"/>
      <w:r>
        <w:rPr>
          <w:rFonts w:ascii="宋体" w:eastAsia="宋体" w:hAnsi="宋体" w:cs="宋体" w:hint="eastAsia"/>
          <w:b/>
          <w:bCs/>
          <w:sz w:val="24"/>
          <w:szCs w:val="24"/>
        </w:rPr>
        <w:lastRenderedPageBreak/>
        <w:t>二十、补充资料</w:t>
      </w:r>
      <w:bookmarkEnd w:id="189"/>
    </w:p>
    <w:p w:rsidR="00403CD6" w:rsidRDefault="00E91A59">
      <w:pPr>
        <w:keepNext/>
        <w:keepLines/>
        <w:spacing w:before="300" w:after="300" w:line="280" w:lineRule="exact"/>
        <w:outlineLvl w:val="2"/>
        <w:rPr>
          <w:rFonts w:ascii="宋体" w:eastAsia="宋体" w:hAnsi="宋体" w:cs="宋体"/>
          <w:b/>
          <w:bCs/>
          <w:szCs w:val="21"/>
        </w:rPr>
      </w:pPr>
      <w:bookmarkStart w:id="190" w:name="_Toc989571"/>
      <w:r>
        <w:rPr>
          <w:rFonts w:ascii="宋体" w:eastAsia="宋体" w:hAnsi="宋体" w:cs="宋体" w:hint="eastAsia"/>
          <w:b/>
          <w:bCs/>
          <w:szCs w:val="21"/>
        </w:rPr>
        <w:t>1、当期非经常性损益明细表</w:t>
      </w:r>
      <w:bookmarkEnd w:id="190"/>
    </w:p>
    <w:p w:rsidR="00403CD6" w:rsidRDefault="00E91A59">
      <w:pPr>
        <w:spacing w:before="100" w:after="100" w:line="240" w:lineRule="exact"/>
        <w:rPr>
          <w:rFonts w:ascii="宋体" w:eastAsia="宋体" w:hAnsi="宋体" w:cs="宋体"/>
          <w:sz w:val="18"/>
          <w:szCs w:val="18"/>
        </w:rPr>
      </w:pPr>
      <w:r>
        <w:rPr>
          <w:rFonts w:asciiTheme="minorEastAsia" w:hAnsiTheme="minorEastAsia" w:cs="Times New Roman"/>
          <w:sz w:val="18"/>
          <w:szCs w:val="18"/>
        </w:rPr>
        <w:sym w:font="Wingdings 2" w:char="F052"/>
      </w:r>
      <w:r>
        <w:rPr>
          <w:rFonts w:ascii="宋体" w:eastAsia="宋体" w:hAnsi="宋体" w:cs="宋体" w:hint="eastAsia"/>
          <w:sz w:val="18"/>
          <w:szCs w:val="18"/>
        </w:rPr>
        <w:t>适用 □不适用</w:t>
      </w:r>
    </w:p>
    <w:p w:rsidR="00403CD6" w:rsidRDefault="00E91A59">
      <w:pPr>
        <w:spacing w:before="120" w:after="40" w:line="240" w:lineRule="exact"/>
        <w:jc w:val="right"/>
        <w:rPr>
          <w:rFonts w:ascii="宋体" w:eastAsia="宋体" w:hAnsi="宋体" w:cs="宋体"/>
          <w:sz w:val="18"/>
          <w:szCs w:val="18"/>
        </w:rPr>
      </w:pPr>
      <w:r>
        <w:rPr>
          <w:rFonts w:ascii="Times New Roman" w:hAnsi="Times New Roman" w:cs="Times New Roman"/>
          <w:sz w:val="18"/>
          <w:szCs w:val="18"/>
        </w:rPr>
        <w:t>单位：元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8"/>
        <w:gridCol w:w="1559"/>
        <w:gridCol w:w="956"/>
      </w:tblGrid>
      <w:tr w:rsidR="00403CD6">
        <w:trPr>
          <w:trHeight w:val="284"/>
        </w:trPr>
        <w:tc>
          <w:tcPr>
            <w:tcW w:w="3724" w:type="pct"/>
            <w:tcBorders>
              <w:bottom w:val="single" w:sz="4" w:space="0" w:color="auto"/>
            </w:tcBorders>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项目</w:t>
            </w:r>
          </w:p>
        </w:tc>
        <w:tc>
          <w:tcPr>
            <w:tcW w:w="791"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金额</w:t>
            </w:r>
          </w:p>
        </w:tc>
        <w:tc>
          <w:tcPr>
            <w:tcW w:w="485"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说明</w:t>
            </w: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非流动性资产处置损益，包括已计提资产减值准备的冲销部分</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35,240,228.34</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计入当期损益的政府补助，但与公司正常经营业务密切相关、符合国家政策规定、按照确定的标准享有、对公司损益产生持续影响的政府补助除外</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 xml:space="preserve">64,412,067.13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除同公司正常经营业务相关的有效套期保值业务外</w:t>
            </w:r>
            <w:r>
              <w:rPr>
                <w:rFonts w:ascii="Times New Roman" w:hAnsi="Times New Roman" w:cs="Times New Roman"/>
                <w:sz w:val="18"/>
                <w:szCs w:val="18"/>
              </w:rPr>
              <w:t>,</w:t>
            </w:r>
            <w:r>
              <w:rPr>
                <w:rFonts w:ascii="Times New Roman" w:hAnsi="Times New Roman" w:cs="Times New Roman"/>
                <w:sz w:val="18"/>
                <w:szCs w:val="18"/>
              </w:rPr>
              <w:t>非金融企业持有金融资产和金融负债产生的公允价值变动损益以及处置金融资产和金融负债产生的损益</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-181,379,218.46</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kern w:val="0"/>
                <w:sz w:val="18"/>
                <w:szCs w:val="18"/>
              </w:rPr>
              <w:t>债务重组损益</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3,519,918.36</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kern w:val="0"/>
                <w:sz w:val="18"/>
                <w:szCs w:val="18"/>
              </w:rPr>
              <w:t>采用公允价值模式进行后续计量的消耗性生物资产公允价值变动产生的损益</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-153,411,759.17</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除上述各项之外的其他营业外收入和支出</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-15,275,886.14</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非经常性损益总额</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-246,894,649.94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减：非经常性损益的所得税影响数</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-18,173,051.07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非经常性损益净额</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-228,721,598.87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减：归属于少数股东的非经常性损益</w:t>
            </w:r>
            <w:proofErr w:type="gramStart"/>
            <w:r>
              <w:rPr>
                <w:rFonts w:ascii="Times New Roman" w:hAnsi="Times New Roman" w:cs="Times New Roman"/>
                <w:sz w:val="18"/>
                <w:szCs w:val="18"/>
              </w:rPr>
              <w:t>净影响数</w:t>
            </w:r>
            <w:proofErr w:type="gramEnd"/>
            <w:r>
              <w:rPr>
                <w:rFonts w:ascii="Times New Roman" w:hAnsi="Times New Roman" w:cs="Times New Roman"/>
                <w:sz w:val="18"/>
                <w:szCs w:val="18"/>
              </w:rPr>
              <w:t>（税后）</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-20,322,564.54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r w:rsidR="00403CD6">
        <w:trPr>
          <w:trHeight w:val="284"/>
        </w:trPr>
        <w:tc>
          <w:tcPr>
            <w:tcW w:w="3724" w:type="pct"/>
            <w:shd w:val="clear" w:color="auto" w:fill="D9D9D9" w:themeFill="background1" w:themeFillShade="D9"/>
            <w:vAlign w:val="center"/>
          </w:tcPr>
          <w:p w:rsidR="00403CD6" w:rsidRDefault="00E91A59">
            <w:pPr>
              <w:rPr>
                <w:rFonts w:ascii="Times New Roman" w:hAnsi="Times New Roman" w:cs="Times New Roman"/>
                <w:sz w:val="18"/>
                <w:szCs w:val="18"/>
              </w:rPr>
            </w:pPr>
            <w:r>
              <w:rPr>
                <w:rFonts w:ascii="Times New Roman" w:hAnsi="Times New Roman" w:cs="Times New Roman"/>
                <w:sz w:val="18"/>
                <w:szCs w:val="18"/>
              </w:rPr>
              <w:t>归属于公司普通股股东的非经常性损益</w:t>
            </w:r>
          </w:p>
        </w:tc>
        <w:tc>
          <w:tcPr>
            <w:tcW w:w="791" w:type="pct"/>
            <w:shd w:val="clear" w:color="auto" w:fill="auto"/>
            <w:vAlign w:val="center"/>
          </w:tcPr>
          <w:p w:rsidR="00403CD6" w:rsidRDefault="00E91A59">
            <w:pPr>
              <w:jc w:val="right"/>
              <w:rPr>
                <w:rFonts w:ascii="Times New Roman" w:hAnsi="Times New Roman" w:cs="Times New Roman"/>
                <w:sz w:val="18"/>
                <w:szCs w:val="18"/>
              </w:rPr>
            </w:pPr>
            <w:r>
              <w:rPr>
                <w:rFonts w:ascii="Times New Roman" w:eastAsia="仿宋_GB2312" w:hAnsi="Times New Roman" w:cs="Times New Roman"/>
                <w:sz w:val="18"/>
                <w:szCs w:val="18"/>
              </w:rPr>
              <w:t xml:space="preserve">-208,399,034.33 </w:t>
            </w:r>
          </w:p>
        </w:tc>
        <w:tc>
          <w:tcPr>
            <w:tcW w:w="485" w:type="pct"/>
            <w:vAlign w:val="center"/>
          </w:tcPr>
          <w:p w:rsidR="00403CD6" w:rsidRDefault="00403CD6">
            <w:pPr>
              <w:spacing w:line="240" w:lineRule="exact"/>
              <w:rPr>
                <w:rFonts w:ascii="Times New Roman" w:eastAsia="宋体" w:hAnsi="Times New Roman" w:cs="Times New Roman"/>
                <w:sz w:val="18"/>
                <w:szCs w:val="18"/>
              </w:rPr>
            </w:pPr>
          </w:p>
        </w:tc>
      </w:tr>
    </w:tbl>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其他符合非经常性损益定义的损益项目的具体情况：</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Theme="minorEastAsia" w:hAnsiTheme="minorEastAsia" w:cs="Times New Roman"/>
          <w:sz w:val="18"/>
          <w:szCs w:val="18"/>
        </w:rPr>
        <w:sym w:font="Wingdings 2" w:char="F052"/>
      </w:r>
      <w:r>
        <w:rPr>
          <w:rFonts w:ascii="宋体" w:eastAsia="宋体" w:hAnsi="宋体" w:cs="宋体" w:hint="eastAsia"/>
          <w:sz w:val="18"/>
          <w:szCs w:val="18"/>
        </w:rPr>
        <w:t>不适用</w:t>
      </w:r>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公司不存在其他符合非经常性损益定义的损益项目的具体情况。</w:t>
      </w:r>
    </w:p>
    <w:p w:rsidR="00403CD6" w:rsidRDefault="00E91A59">
      <w:pPr>
        <w:spacing w:before="100" w:after="100" w:line="240" w:lineRule="exact"/>
        <w:rPr>
          <w:rFonts w:ascii="Times New Roman" w:eastAsia="宋体" w:hAnsi="Times New Roman" w:cs="Times New Roman"/>
          <w:sz w:val="18"/>
          <w:szCs w:val="18"/>
        </w:rPr>
      </w:pPr>
      <w:r>
        <w:rPr>
          <w:rFonts w:ascii="Times New Roman" w:eastAsia="宋体" w:hAnsi="Times New Roman" w:cs="Times New Roman"/>
          <w:sz w:val="18"/>
          <w:szCs w:val="18"/>
        </w:rPr>
        <w:t>将《公开发行证券的公司信息披露解释性公告第</w:t>
      </w:r>
      <w:r>
        <w:rPr>
          <w:rFonts w:ascii="Times New Roman" w:eastAsia="宋体" w:hAnsi="Times New Roman" w:cs="Times New Roman"/>
          <w:sz w:val="18"/>
          <w:szCs w:val="18"/>
        </w:rPr>
        <w:t>1</w:t>
      </w:r>
      <w:r>
        <w:rPr>
          <w:rFonts w:ascii="Times New Roman" w:eastAsia="宋体" w:hAnsi="Times New Roman" w:cs="Times New Roman"/>
          <w:sz w:val="18"/>
          <w:szCs w:val="18"/>
        </w:rPr>
        <w:t>号</w:t>
      </w:r>
      <w:r>
        <w:rPr>
          <w:rFonts w:ascii="Times New Roman" w:eastAsia="宋体" w:hAnsi="Times New Roman" w:cs="Times New Roman"/>
          <w:sz w:val="18"/>
          <w:szCs w:val="18"/>
        </w:rPr>
        <w:t>——</w:t>
      </w:r>
      <w:r>
        <w:rPr>
          <w:rFonts w:ascii="Times New Roman" w:eastAsia="宋体" w:hAnsi="Times New Roman" w:cs="Times New Roman"/>
          <w:sz w:val="18"/>
          <w:szCs w:val="18"/>
        </w:rPr>
        <w:t>非经常性损益》中列举的非经常性损益项目界定为经常性损益项目的情况说明</w:t>
      </w:r>
    </w:p>
    <w:p w:rsidR="00403CD6" w:rsidRDefault="00E91A59">
      <w:pPr>
        <w:ind w:right="360"/>
        <w:rPr>
          <w:rFonts w:asciiTheme="minorEastAsia" w:hAnsiTheme="minorEastAsia" w:cstheme="minorEastAsia"/>
          <w:sz w:val="18"/>
          <w:szCs w:val="18"/>
        </w:rPr>
      </w:pPr>
      <w:r>
        <w:rPr>
          <w:rFonts w:asciiTheme="minorEastAsia" w:hAnsiTheme="minorEastAsia" w:cs="Times New Roman"/>
          <w:sz w:val="18"/>
          <w:szCs w:val="18"/>
        </w:rPr>
        <w:sym w:font="Wingdings 2" w:char="F052"/>
      </w:r>
      <w:r>
        <w:rPr>
          <w:rFonts w:asciiTheme="minorEastAsia" w:hAnsiTheme="minorEastAsia" w:cstheme="minorEastAsia" w:hint="eastAsia"/>
          <w:sz w:val="18"/>
          <w:szCs w:val="18"/>
        </w:rPr>
        <w:t>适用 □不适用</w:t>
      </w:r>
    </w:p>
    <w:p w:rsidR="00403CD6" w:rsidRDefault="00403CD6">
      <w:pPr>
        <w:jc w:val="right"/>
        <w:rPr>
          <w:rFonts w:asciiTheme="minorEastAsia" w:hAnsiTheme="minorEastAsia" w:cstheme="minorEastAsia"/>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2"/>
        <w:gridCol w:w="2063"/>
        <w:gridCol w:w="6688"/>
      </w:tblGrid>
      <w:tr w:rsidR="00403CD6">
        <w:trPr>
          <w:trHeight w:val="284"/>
        </w:trPr>
        <w:tc>
          <w:tcPr>
            <w:tcW w:w="559"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项目</w:t>
            </w:r>
          </w:p>
        </w:tc>
        <w:tc>
          <w:tcPr>
            <w:tcW w:w="1047"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涉及金额（元）</w:t>
            </w:r>
          </w:p>
        </w:tc>
        <w:tc>
          <w:tcPr>
            <w:tcW w:w="3394" w:type="pct"/>
            <w:shd w:val="clear" w:color="auto" w:fill="D3D3D3"/>
            <w:vAlign w:val="center"/>
          </w:tcPr>
          <w:p w:rsidR="00403CD6" w:rsidRDefault="00E91A59">
            <w:pPr>
              <w:jc w:val="center"/>
              <w:rPr>
                <w:rFonts w:ascii="Times New Roman" w:hAnsi="Times New Roman" w:cs="Times New Roman"/>
                <w:sz w:val="18"/>
                <w:szCs w:val="18"/>
              </w:rPr>
            </w:pPr>
            <w:r>
              <w:rPr>
                <w:rFonts w:ascii="Times New Roman" w:hAnsi="Times New Roman" w:cs="Times New Roman"/>
                <w:sz w:val="18"/>
                <w:szCs w:val="18"/>
              </w:rPr>
              <w:t>原因</w:t>
            </w:r>
          </w:p>
        </w:tc>
      </w:tr>
      <w:tr w:rsidR="00403CD6">
        <w:trPr>
          <w:trHeight w:val="284"/>
        </w:trPr>
        <w:tc>
          <w:tcPr>
            <w:tcW w:w="559" w:type="pct"/>
            <w:vAlign w:val="center"/>
          </w:tcPr>
          <w:p w:rsidR="00403CD6" w:rsidRDefault="00E91A59">
            <w:pPr>
              <w:rPr>
                <w:rFonts w:ascii="Times New Roman" w:hAnsi="Times New Roman" w:cs="Times New Roman"/>
                <w:sz w:val="18"/>
                <w:szCs w:val="18"/>
              </w:rPr>
            </w:pPr>
            <w:r>
              <w:rPr>
                <w:rFonts w:ascii="Times New Roman" w:eastAsia="宋体" w:hAnsi="Times New Roman" w:cs="Times New Roman"/>
                <w:sz w:val="18"/>
                <w:szCs w:val="18"/>
              </w:rPr>
              <w:t>其他收益</w:t>
            </w:r>
          </w:p>
        </w:tc>
        <w:tc>
          <w:tcPr>
            <w:tcW w:w="1047" w:type="pct"/>
            <w:vAlign w:val="center"/>
          </w:tcPr>
          <w:p w:rsidR="00403CD6" w:rsidRDefault="00E91A59">
            <w:pPr>
              <w:jc w:val="right"/>
              <w:rPr>
                <w:rFonts w:ascii="Times New Roman" w:hAnsi="Times New Roman" w:cs="Times New Roman"/>
                <w:sz w:val="18"/>
                <w:szCs w:val="18"/>
              </w:rPr>
            </w:pPr>
            <w:r>
              <w:rPr>
                <w:rFonts w:ascii="Times New Roman" w:hAnsi="Times New Roman" w:cs="Times New Roman"/>
                <w:sz w:val="18"/>
                <w:szCs w:val="18"/>
              </w:rPr>
              <w:t>56,090,636.54</w:t>
            </w:r>
          </w:p>
        </w:tc>
        <w:tc>
          <w:tcPr>
            <w:tcW w:w="3394" w:type="pct"/>
            <w:vAlign w:val="center"/>
          </w:tcPr>
          <w:p w:rsidR="00403CD6" w:rsidRDefault="00E91A59">
            <w:pPr>
              <w:rPr>
                <w:rFonts w:ascii="Times New Roman" w:hAnsi="Times New Roman" w:cs="Times New Roman"/>
                <w:sz w:val="18"/>
                <w:szCs w:val="18"/>
              </w:rPr>
            </w:pPr>
            <w:r>
              <w:rPr>
                <w:rFonts w:ascii="Times New Roman" w:eastAsia="宋体" w:hAnsi="Times New Roman" w:cs="Times New Roman"/>
                <w:sz w:val="18"/>
                <w:szCs w:val="18"/>
              </w:rPr>
              <w:t>与资产相关，且与公司正常经营业务密切相关的政府补助，后续摊销计入其他收益，对本公司损益产生持续影响，因此作为经常性损益。</w:t>
            </w:r>
          </w:p>
        </w:tc>
      </w:tr>
    </w:tbl>
    <w:p w:rsidR="00403CD6" w:rsidRDefault="00E91A59">
      <w:pPr>
        <w:keepNext/>
        <w:keepLines/>
        <w:spacing w:before="300" w:after="300" w:line="280" w:lineRule="exact"/>
        <w:outlineLvl w:val="2"/>
        <w:rPr>
          <w:rFonts w:ascii="宋体" w:eastAsia="宋体" w:hAnsi="宋体" w:cs="宋体"/>
          <w:b/>
          <w:bCs/>
          <w:szCs w:val="21"/>
        </w:rPr>
      </w:pPr>
      <w:bookmarkStart w:id="191" w:name="_Toc989572"/>
      <w:r>
        <w:rPr>
          <w:rFonts w:ascii="宋体" w:eastAsia="宋体" w:hAnsi="宋体" w:cs="宋体" w:hint="eastAsia"/>
          <w:b/>
          <w:bCs/>
          <w:szCs w:val="21"/>
        </w:rPr>
        <w:t>2、净资产收益率及每股收益</w:t>
      </w:r>
      <w:bookmarkEnd w:id="19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4281"/>
        <w:gridCol w:w="1416"/>
        <w:gridCol w:w="1937"/>
        <w:gridCol w:w="2059"/>
      </w:tblGrid>
      <w:tr w:rsidR="00403CD6">
        <w:trPr>
          <w:trHeight w:val="284"/>
        </w:trPr>
        <w:tc>
          <w:tcPr>
            <w:tcW w:w="2208"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报告期利润</w:t>
            </w:r>
          </w:p>
        </w:tc>
        <w:tc>
          <w:tcPr>
            <w:tcW w:w="730" w:type="pct"/>
            <w:vMerge w:val="restar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加权平均净资产收益率（</w:t>
            </w:r>
            <w:r>
              <w:rPr>
                <w:rFonts w:ascii="Times New Roman" w:eastAsia="宋体" w:hAnsi="Times New Roman" w:cs="Times New Roman"/>
                <w:sz w:val="18"/>
                <w:szCs w:val="18"/>
              </w:rPr>
              <w:t>%</w:t>
            </w:r>
            <w:r>
              <w:rPr>
                <w:rFonts w:ascii="Times New Roman" w:eastAsia="宋体" w:hAnsi="Times New Roman" w:cs="Times New Roman"/>
                <w:sz w:val="18"/>
                <w:szCs w:val="18"/>
              </w:rPr>
              <w:t>）</w:t>
            </w:r>
          </w:p>
        </w:tc>
        <w:tc>
          <w:tcPr>
            <w:tcW w:w="2061" w:type="pct"/>
            <w:gridSpan w:val="2"/>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每股收益</w:t>
            </w:r>
          </w:p>
        </w:tc>
      </w:tr>
      <w:tr w:rsidR="00403CD6">
        <w:trPr>
          <w:trHeight w:val="284"/>
        </w:trPr>
        <w:tc>
          <w:tcPr>
            <w:tcW w:w="2208" w:type="pct"/>
            <w:vMerge/>
            <w:vAlign w:val="center"/>
          </w:tcPr>
          <w:p w:rsidR="00403CD6" w:rsidRDefault="00403CD6">
            <w:pPr>
              <w:widowControl/>
              <w:rPr>
                <w:rFonts w:ascii="Times New Roman" w:eastAsia="宋体" w:hAnsi="Times New Roman" w:cs="Times New Roman"/>
                <w:sz w:val="18"/>
                <w:szCs w:val="18"/>
              </w:rPr>
            </w:pPr>
          </w:p>
        </w:tc>
        <w:tc>
          <w:tcPr>
            <w:tcW w:w="730" w:type="pct"/>
            <w:vMerge/>
            <w:vAlign w:val="center"/>
          </w:tcPr>
          <w:p w:rsidR="00403CD6" w:rsidRDefault="00403CD6">
            <w:pPr>
              <w:widowControl/>
              <w:rPr>
                <w:rFonts w:ascii="Times New Roman" w:eastAsia="宋体" w:hAnsi="Times New Roman" w:cs="Times New Roman"/>
                <w:sz w:val="18"/>
                <w:szCs w:val="18"/>
              </w:rPr>
            </w:pPr>
          </w:p>
        </w:tc>
        <w:tc>
          <w:tcPr>
            <w:tcW w:w="999"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基本每股收益（元</w:t>
            </w:r>
            <w:r>
              <w:rPr>
                <w:rFonts w:ascii="Times New Roman" w:eastAsia="宋体" w:hAnsi="Times New Roman" w:cs="Times New Roman"/>
                <w:sz w:val="18"/>
                <w:szCs w:val="18"/>
              </w:rPr>
              <w:t>/</w:t>
            </w:r>
            <w:r>
              <w:rPr>
                <w:rFonts w:ascii="Times New Roman" w:eastAsia="宋体" w:hAnsi="Times New Roman" w:cs="Times New Roman"/>
                <w:sz w:val="18"/>
                <w:szCs w:val="18"/>
              </w:rPr>
              <w:t>股）</w:t>
            </w:r>
          </w:p>
        </w:tc>
        <w:tc>
          <w:tcPr>
            <w:tcW w:w="1062" w:type="pct"/>
            <w:shd w:val="clear" w:color="auto" w:fill="D3D3D3"/>
            <w:vAlign w:val="center"/>
          </w:tcPr>
          <w:p w:rsidR="00403CD6" w:rsidRDefault="00E91A59">
            <w:pPr>
              <w:spacing w:before="40" w:after="40" w:line="240" w:lineRule="exact"/>
              <w:jc w:val="center"/>
              <w:rPr>
                <w:rFonts w:ascii="Times New Roman" w:eastAsia="宋体" w:hAnsi="Times New Roman" w:cs="Times New Roman"/>
                <w:sz w:val="18"/>
                <w:szCs w:val="18"/>
              </w:rPr>
            </w:pPr>
            <w:r>
              <w:rPr>
                <w:rFonts w:ascii="Times New Roman" w:eastAsia="宋体" w:hAnsi="Times New Roman" w:cs="Times New Roman"/>
                <w:sz w:val="18"/>
                <w:szCs w:val="18"/>
              </w:rPr>
              <w:t>稀释每股收益（元</w:t>
            </w:r>
            <w:r>
              <w:rPr>
                <w:rFonts w:ascii="Times New Roman" w:eastAsia="宋体" w:hAnsi="Times New Roman" w:cs="Times New Roman"/>
                <w:sz w:val="18"/>
                <w:szCs w:val="18"/>
              </w:rPr>
              <w:t>/</w:t>
            </w:r>
            <w:r>
              <w:rPr>
                <w:rFonts w:ascii="Times New Roman" w:eastAsia="宋体" w:hAnsi="Times New Roman" w:cs="Times New Roman"/>
                <w:sz w:val="18"/>
                <w:szCs w:val="18"/>
              </w:rPr>
              <w:t>股）</w:t>
            </w:r>
          </w:p>
        </w:tc>
      </w:tr>
      <w:tr w:rsidR="00403CD6">
        <w:trPr>
          <w:trHeight w:val="284"/>
        </w:trPr>
        <w:tc>
          <w:tcPr>
            <w:tcW w:w="220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归属于公司普通股股东的净利润</w:t>
            </w:r>
          </w:p>
        </w:tc>
        <w:tc>
          <w:tcPr>
            <w:tcW w:w="730" w:type="pct"/>
            <w:shd w:val="clear" w:color="auto" w:fill="auto"/>
            <w:vAlign w:val="center"/>
          </w:tcPr>
          <w:p w:rsidR="00403CD6" w:rsidRDefault="00E91A59" w:rsidP="002C4FCC">
            <w:pPr>
              <w:jc w:val="right"/>
              <w:rPr>
                <w:rFonts w:ascii="Times New Roman" w:eastAsia="仿宋_GB2312" w:hAnsi="Times New Roman" w:cs="Times New Roman"/>
                <w:sz w:val="18"/>
                <w:szCs w:val="18"/>
              </w:rPr>
            </w:pPr>
            <w:r>
              <w:rPr>
                <w:rFonts w:ascii="Times New Roman" w:eastAsia="仿宋_GB2312" w:hAnsi="Times New Roman" w:cs="Times New Roman" w:hint="eastAsia"/>
                <w:sz w:val="18"/>
                <w:szCs w:val="18"/>
              </w:rPr>
              <w:t>-57.</w:t>
            </w:r>
            <w:r w:rsidR="002C4FCC">
              <w:rPr>
                <w:rFonts w:ascii="Times New Roman" w:eastAsia="仿宋_GB2312" w:hAnsi="Times New Roman" w:cs="Times New Roman" w:hint="eastAsia"/>
                <w:sz w:val="18"/>
                <w:szCs w:val="18"/>
              </w:rPr>
              <w:t>25</w:t>
            </w:r>
          </w:p>
        </w:tc>
        <w:tc>
          <w:tcPr>
            <w:tcW w:w="99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-2.5</w:t>
            </w:r>
            <w:r w:rsidR="002C4FCC">
              <w:rPr>
                <w:rFonts w:ascii="Times New Roman" w:eastAsia="仿宋_GB2312" w:hAnsi="Times New Roman" w:cs="Times New Roman" w:hint="eastAsia"/>
                <w:sz w:val="18"/>
                <w:szCs w:val="18"/>
              </w:rPr>
              <w:t>3</w:t>
            </w:r>
          </w:p>
        </w:tc>
        <w:tc>
          <w:tcPr>
            <w:tcW w:w="1062"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eastAsia="仿宋_GB2312" w:hAnsi="Times New Roman" w:cs="Times New Roman"/>
                <w:sz w:val="18"/>
                <w:szCs w:val="18"/>
              </w:rPr>
              <w:t>-2.5</w:t>
            </w:r>
            <w:r w:rsidR="002C4FCC">
              <w:rPr>
                <w:rFonts w:ascii="Times New Roman" w:eastAsia="仿宋_GB2312" w:hAnsi="Times New Roman" w:cs="Times New Roman" w:hint="eastAsia"/>
                <w:sz w:val="18"/>
                <w:szCs w:val="18"/>
              </w:rPr>
              <w:t>3</w:t>
            </w:r>
          </w:p>
        </w:tc>
      </w:tr>
      <w:tr w:rsidR="00403CD6">
        <w:trPr>
          <w:trHeight w:val="284"/>
        </w:trPr>
        <w:tc>
          <w:tcPr>
            <w:tcW w:w="2208" w:type="pct"/>
            <w:shd w:val="clear" w:color="auto" w:fill="D3D3D3"/>
            <w:vAlign w:val="center"/>
          </w:tcPr>
          <w:p w:rsidR="00403CD6" w:rsidRDefault="00E91A59">
            <w:pPr>
              <w:spacing w:before="40" w:after="40" w:line="240" w:lineRule="exact"/>
              <w:rPr>
                <w:rFonts w:ascii="Times New Roman" w:eastAsia="宋体" w:hAnsi="Times New Roman" w:cs="Times New Roman"/>
                <w:sz w:val="18"/>
                <w:szCs w:val="18"/>
              </w:rPr>
            </w:pPr>
            <w:r>
              <w:rPr>
                <w:rFonts w:ascii="Times New Roman" w:eastAsia="宋体" w:hAnsi="Times New Roman" w:cs="Times New Roman"/>
                <w:sz w:val="18"/>
                <w:szCs w:val="18"/>
              </w:rPr>
              <w:t>扣除非经常性损益后归属于公司普通股股东的净利润</w:t>
            </w:r>
          </w:p>
        </w:tc>
        <w:tc>
          <w:tcPr>
            <w:tcW w:w="730" w:type="pct"/>
            <w:shd w:val="clear" w:color="auto" w:fill="auto"/>
            <w:vAlign w:val="center"/>
          </w:tcPr>
          <w:p w:rsidR="00403CD6" w:rsidRDefault="002C4FCC">
            <w:pPr>
              <w:jc w:val="right"/>
              <w:rPr>
                <w:rFonts w:ascii="Times New Roman" w:eastAsia="仿宋_GB2312" w:hAnsi="Times New Roman" w:cs="Times New Roman"/>
                <w:sz w:val="18"/>
                <w:szCs w:val="18"/>
              </w:rPr>
            </w:pPr>
            <w:r>
              <w:rPr>
                <w:rFonts w:ascii="Times New Roman" w:eastAsia="仿宋_GB2312" w:hAnsi="Times New Roman" w:cs="Times New Roman" w:hint="eastAsia"/>
                <w:sz w:val="18"/>
                <w:szCs w:val="18"/>
              </w:rPr>
              <w:t>-55.64</w:t>
            </w:r>
          </w:p>
        </w:tc>
        <w:tc>
          <w:tcPr>
            <w:tcW w:w="999" w:type="pct"/>
            <w:shd w:val="clear" w:color="auto" w:fill="auto"/>
            <w:vAlign w:val="center"/>
          </w:tcPr>
          <w:p w:rsidR="00403CD6" w:rsidRDefault="00E91A59">
            <w:pPr>
              <w:jc w:val="right"/>
              <w:rPr>
                <w:rFonts w:ascii="Times New Roman" w:eastAsia="仿宋_GB2312" w:hAnsi="Times New Roman" w:cs="Times New Roman"/>
                <w:sz w:val="18"/>
                <w:szCs w:val="18"/>
              </w:rPr>
            </w:pPr>
            <w:r>
              <w:rPr>
                <w:rFonts w:ascii="Times New Roman" w:eastAsia="仿宋_GB2312" w:hAnsi="Times New Roman" w:cs="Times New Roman" w:hint="eastAsia"/>
                <w:sz w:val="18"/>
                <w:szCs w:val="18"/>
              </w:rPr>
              <w:t>-2.4</w:t>
            </w:r>
            <w:r w:rsidR="002C4FCC">
              <w:rPr>
                <w:rFonts w:ascii="Times New Roman" w:eastAsia="仿宋_GB2312" w:hAnsi="Times New Roman" w:cs="Times New Roman" w:hint="eastAsia"/>
                <w:sz w:val="18"/>
                <w:szCs w:val="18"/>
              </w:rPr>
              <w:t>5</w:t>
            </w:r>
          </w:p>
        </w:tc>
        <w:tc>
          <w:tcPr>
            <w:tcW w:w="1062" w:type="pct"/>
            <w:vAlign w:val="center"/>
          </w:tcPr>
          <w:p w:rsidR="00403CD6" w:rsidRDefault="00E91A59">
            <w:pPr>
              <w:spacing w:line="240" w:lineRule="exact"/>
              <w:jc w:val="right"/>
              <w:rPr>
                <w:rFonts w:ascii="Times New Roman" w:eastAsia="仿宋_GB2312" w:hAnsi="Times New Roman" w:cs="Times New Roman"/>
                <w:sz w:val="18"/>
                <w:szCs w:val="18"/>
              </w:rPr>
            </w:pPr>
            <w:r>
              <w:rPr>
                <w:rFonts w:ascii="Times New Roman" w:eastAsia="仿宋_GB2312" w:hAnsi="Times New Roman" w:cs="Times New Roman" w:hint="eastAsia"/>
                <w:sz w:val="18"/>
                <w:szCs w:val="18"/>
              </w:rPr>
              <w:t>-2.4</w:t>
            </w:r>
            <w:r w:rsidR="002C4FCC">
              <w:rPr>
                <w:rFonts w:ascii="Times New Roman" w:eastAsia="仿宋_GB2312" w:hAnsi="Times New Roman" w:cs="Times New Roman" w:hint="eastAsia"/>
                <w:sz w:val="18"/>
                <w:szCs w:val="18"/>
              </w:rPr>
              <w:t>5</w:t>
            </w:r>
          </w:p>
        </w:tc>
      </w:tr>
    </w:tbl>
    <w:p w:rsidR="00403CD6" w:rsidRDefault="00E91A59">
      <w:pPr>
        <w:keepNext/>
        <w:keepLines/>
        <w:spacing w:before="300" w:after="300" w:line="280" w:lineRule="exact"/>
        <w:outlineLvl w:val="2"/>
        <w:rPr>
          <w:rFonts w:ascii="宋体" w:eastAsia="宋体" w:hAnsi="宋体" w:cs="宋体"/>
          <w:b/>
          <w:bCs/>
          <w:szCs w:val="21"/>
        </w:rPr>
      </w:pPr>
      <w:bookmarkStart w:id="192" w:name="_Toc989573"/>
      <w:r>
        <w:rPr>
          <w:rFonts w:ascii="宋体" w:eastAsia="宋体" w:hAnsi="宋体" w:cs="宋体" w:hint="eastAsia"/>
          <w:b/>
          <w:bCs/>
          <w:szCs w:val="21"/>
        </w:rPr>
        <w:t>3、境内外会计准则下会计数据差异</w:t>
      </w:r>
      <w:bookmarkEnd w:id="192"/>
    </w:p>
    <w:p w:rsidR="00403CD6" w:rsidRDefault="00E91A59">
      <w:pPr>
        <w:keepNext/>
        <w:keepLines/>
        <w:spacing w:before="300" w:after="300" w:line="280" w:lineRule="exact"/>
        <w:outlineLvl w:val="3"/>
        <w:rPr>
          <w:rFonts w:ascii="宋体" w:eastAsia="宋体" w:hAnsi="宋体" w:cs="宋体"/>
          <w:b/>
          <w:bCs/>
          <w:szCs w:val="21"/>
        </w:rPr>
      </w:pPr>
      <w:bookmarkStart w:id="193" w:name="_Toc989574"/>
      <w:r>
        <w:rPr>
          <w:rFonts w:ascii="宋体" w:eastAsia="宋体" w:hAnsi="宋体" w:cs="宋体" w:hint="eastAsia"/>
          <w:b/>
          <w:bCs/>
          <w:szCs w:val="21"/>
        </w:rPr>
        <w:t>（1） 同时按照国际会计准则与按中国会计准则披露的财务</w:t>
      </w:r>
      <w:proofErr w:type="gramStart"/>
      <w:r>
        <w:rPr>
          <w:rFonts w:ascii="宋体" w:eastAsia="宋体" w:hAnsi="宋体" w:cs="宋体" w:hint="eastAsia"/>
          <w:b/>
          <w:bCs/>
          <w:szCs w:val="21"/>
        </w:rPr>
        <w:t>报告中净利润</w:t>
      </w:r>
      <w:proofErr w:type="gramEnd"/>
      <w:r>
        <w:rPr>
          <w:rFonts w:ascii="宋体" w:eastAsia="宋体" w:hAnsi="宋体" w:cs="宋体" w:hint="eastAsia"/>
          <w:b/>
          <w:bCs/>
          <w:szCs w:val="21"/>
        </w:rPr>
        <w:t>和净资产差异情况</w:t>
      </w:r>
      <w:bookmarkEnd w:id="193"/>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宋体" w:eastAsia="宋体" w:hAnsi="宋体" w:cs="宋体"/>
          <w:sz w:val="18"/>
          <w:szCs w:val="18"/>
        </w:rPr>
        <w:sym w:font="Wingdings 2" w:char="F052"/>
      </w:r>
      <w:r>
        <w:rPr>
          <w:rFonts w:ascii="宋体" w:eastAsia="宋体" w:hAnsi="宋体" w:cs="宋体" w:hint="eastAsia"/>
          <w:sz w:val="18"/>
          <w:szCs w:val="18"/>
        </w:rPr>
        <w:t>不适用</w:t>
      </w:r>
    </w:p>
    <w:p w:rsidR="00403CD6" w:rsidRDefault="00E91A59">
      <w:pPr>
        <w:keepNext/>
        <w:keepLines/>
        <w:spacing w:before="300" w:after="300" w:line="280" w:lineRule="exact"/>
        <w:outlineLvl w:val="3"/>
        <w:rPr>
          <w:rFonts w:ascii="宋体" w:eastAsia="宋体" w:hAnsi="宋体" w:cs="宋体"/>
          <w:b/>
          <w:bCs/>
          <w:szCs w:val="21"/>
        </w:rPr>
      </w:pPr>
      <w:bookmarkStart w:id="194" w:name="_Toc989575"/>
      <w:r>
        <w:rPr>
          <w:rFonts w:ascii="宋体" w:eastAsia="宋体" w:hAnsi="宋体" w:cs="宋体" w:hint="eastAsia"/>
          <w:b/>
          <w:bCs/>
          <w:szCs w:val="21"/>
        </w:rPr>
        <w:t>（2） 同时按照境外会计准则与按中国会计准则披露的财务</w:t>
      </w:r>
      <w:proofErr w:type="gramStart"/>
      <w:r>
        <w:rPr>
          <w:rFonts w:ascii="宋体" w:eastAsia="宋体" w:hAnsi="宋体" w:cs="宋体" w:hint="eastAsia"/>
          <w:b/>
          <w:bCs/>
          <w:szCs w:val="21"/>
        </w:rPr>
        <w:t>报告中净利润</w:t>
      </w:r>
      <w:proofErr w:type="gramEnd"/>
      <w:r>
        <w:rPr>
          <w:rFonts w:ascii="宋体" w:eastAsia="宋体" w:hAnsi="宋体" w:cs="宋体" w:hint="eastAsia"/>
          <w:b/>
          <w:bCs/>
          <w:szCs w:val="21"/>
        </w:rPr>
        <w:t>和净资产差异情况</w:t>
      </w:r>
      <w:bookmarkEnd w:id="194"/>
    </w:p>
    <w:p w:rsidR="00403CD6" w:rsidRDefault="00E91A59">
      <w:pPr>
        <w:spacing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宋体" w:eastAsia="宋体" w:hAnsi="宋体" w:cs="宋体"/>
          <w:sz w:val="18"/>
          <w:szCs w:val="18"/>
        </w:rPr>
        <w:sym w:font="Wingdings 2" w:char="F052"/>
      </w:r>
      <w:r>
        <w:rPr>
          <w:rFonts w:ascii="宋体" w:eastAsia="宋体" w:hAnsi="宋体" w:cs="宋体" w:hint="eastAsia"/>
          <w:sz w:val="18"/>
          <w:szCs w:val="18"/>
        </w:rPr>
        <w:t>不适用</w:t>
      </w:r>
    </w:p>
    <w:p w:rsidR="00403CD6" w:rsidRDefault="00E91A59" w:rsidP="009753DB">
      <w:pPr>
        <w:keepLines/>
        <w:spacing w:before="300" w:after="300" w:line="280" w:lineRule="exact"/>
        <w:outlineLvl w:val="3"/>
        <w:rPr>
          <w:rFonts w:ascii="宋体" w:eastAsia="宋体" w:hAnsi="宋体" w:cs="宋体"/>
          <w:b/>
          <w:bCs/>
          <w:szCs w:val="21"/>
        </w:rPr>
      </w:pPr>
      <w:bookmarkStart w:id="195" w:name="_Toc989576"/>
      <w:r>
        <w:rPr>
          <w:rFonts w:ascii="宋体" w:eastAsia="宋体" w:hAnsi="宋体" w:cs="宋体" w:hint="eastAsia"/>
          <w:b/>
          <w:bCs/>
          <w:szCs w:val="21"/>
        </w:rPr>
        <w:lastRenderedPageBreak/>
        <w:t>（3） 境内外会计准则下会计数据差异原因说明，对已经境外审计机构审计的数据进行差异调节的，应注明该境外机构的名称</w:t>
      </w:r>
      <w:bookmarkEnd w:id="195"/>
    </w:p>
    <w:p w:rsidR="00403CD6" w:rsidRDefault="00E91A59">
      <w:pPr>
        <w:spacing w:before="100" w:after="100" w:line="240" w:lineRule="exact"/>
        <w:rPr>
          <w:rFonts w:ascii="宋体" w:eastAsia="宋体" w:hAnsi="宋体" w:cs="宋体"/>
          <w:sz w:val="18"/>
          <w:szCs w:val="18"/>
        </w:rPr>
      </w:pPr>
      <w:r>
        <w:rPr>
          <w:rFonts w:ascii="宋体" w:eastAsia="宋体" w:hAnsi="宋体" w:cs="宋体" w:hint="eastAsia"/>
          <w:sz w:val="18"/>
          <w:szCs w:val="18"/>
        </w:rPr>
        <w:t xml:space="preserve">□适用 </w:t>
      </w:r>
      <w:r>
        <w:rPr>
          <w:rFonts w:ascii="宋体" w:eastAsia="宋体" w:hAnsi="宋体" w:cs="宋体"/>
          <w:sz w:val="18"/>
          <w:szCs w:val="18"/>
        </w:rPr>
        <w:sym w:font="Wingdings 2" w:char="F052"/>
      </w:r>
      <w:r>
        <w:rPr>
          <w:rFonts w:ascii="宋体" w:eastAsia="宋体" w:hAnsi="宋体" w:cs="宋体" w:hint="eastAsia"/>
          <w:sz w:val="18"/>
          <w:szCs w:val="18"/>
        </w:rPr>
        <w:t>不适用</w:t>
      </w:r>
    </w:p>
    <w:bookmarkEnd w:id="121"/>
    <w:p w:rsidR="00403CD6" w:rsidRDefault="00E91A59">
      <w:pPr>
        <w:spacing w:before="100" w:after="100" w:line="240" w:lineRule="exact"/>
        <w:jc w:val="right"/>
        <w:rPr>
          <w:rFonts w:ascii="Times New Roman" w:hAnsi="Times New Roman" w:cs="Times New Roman"/>
          <w:sz w:val="18"/>
          <w:szCs w:val="18"/>
        </w:rPr>
      </w:pPr>
      <w:r>
        <w:rPr>
          <w:rFonts w:ascii="Times New Roman" w:hAnsi="Times New Roman" w:cs="Times New Roman"/>
          <w:sz w:val="18"/>
          <w:szCs w:val="18"/>
        </w:rPr>
        <w:t>山东晨鸣纸业集团股份有限公司董事会</w:t>
      </w:r>
    </w:p>
    <w:p w:rsidR="00403CD6" w:rsidRPr="00802838" w:rsidRDefault="00E91A59" w:rsidP="00802838">
      <w:pPr>
        <w:spacing w:before="100" w:after="100" w:line="240" w:lineRule="exact"/>
        <w:ind w:right="360"/>
        <w:jc w:val="center"/>
        <w:rPr>
          <w:rFonts w:ascii="Times New Roman" w:hAnsi="Times New Roman" w:cs="Times New Roman"/>
          <w:sz w:val="18"/>
          <w:szCs w:val="18"/>
        </w:rPr>
      </w:pPr>
      <w:r>
        <w:rPr>
          <w:rFonts w:ascii="Times New Roman" w:hAnsi="Times New Roman" w:cs="Times New Roman"/>
          <w:sz w:val="18"/>
          <w:szCs w:val="18"/>
        </w:rPr>
        <w:t xml:space="preserve">                                                                                                                                                         </w:t>
      </w:r>
      <w:r>
        <w:rPr>
          <w:rFonts w:ascii="Times New Roman" w:hAnsi="Times New Roman" w:cs="Times New Roman"/>
          <w:sz w:val="18"/>
          <w:szCs w:val="18"/>
        </w:rPr>
        <w:t>二〇二</w:t>
      </w:r>
      <w:r>
        <w:rPr>
          <w:rFonts w:ascii="Times New Roman" w:hAnsi="Times New Roman" w:cs="Times New Roman" w:hint="eastAsia"/>
          <w:sz w:val="18"/>
          <w:szCs w:val="18"/>
        </w:rPr>
        <w:t>五</w:t>
      </w:r>
      <w:r>
        <w:rPr>
          <w:rFonts w:ascii="Times New Roman" w:hAnsi="Times New Roman" w:cs="Times New Roman"/>
          <w:sz w:val="18"/>
          <w:szCs w:val="18"/>
        </w:rPr>
        <w:t>年三月</w:t>
      </w:r>
      <w:r>
        <w:rPr>
          <w:rFonts w:ascii="Times New Roman" w:hAnsi="Times New Roman" w:cs="Times New Roman" w:hint="eastAsia"/>
          <w:sz w:val="18"/>
          <w:szCs w:val="18"/>
        </w:rPr>
        <w:t>三十一</w:t>
      </w:r>
      <w:r>
        <w:rPr>
          <w:rFonts w:ascii="Times New Roman" w:hAnsi="Times New Roman" w:cs="Times New Roman"/>
          <w:sz w:val="18"/>
          <w:szCs w:val="18"/>
        </w:rPr>
        <w:t>日</w:t>
      </w:r>
    </w:p>
    <w:p w:rsidR="00403CD6" w:rsidRDefault="00403CD6"/>
    <w:sectPr w:rsidR="00403CD6">
      <w:headerReference w:type="default" r:id="rId10"/>
      <w:footerReference w:type="default" r:id="rId11"/>
      <w:pgSz w:w="11905" w:h="16840"/>
      <w:pgMar w:top="1440" w:right="1134" w:bottom="1440" w:left="1134" w:header="851" w:footer="992" w:gutter="0"/>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D29" w:rsidRDefault="000C2D29">
      <w:r>
        <w:separator/>
      </w:r>
    </w:p>
  </w:endnote>
  <w:endnote w:type="continuationSeparator" w:id="0">
    <w:p w:rsidR="000C2D29" w:rsidRDefault="000C2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等线">
    <w:altName w:val="Arial Unicode MS"/>
    <w:charset w:val="86"/>
    <w:family w:val="auto"/>
    <w:pitch w:val="variable"/>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AFE" w:rsidRDefault="00E64AFE">
    <w:pPr>
      <w:pStyle w:val="fotter1"/>
    </w:pPr>
    <w:r>
      <w:fldChar w:fldCharType="begin"/>
    </w:r>
    <w:r>
      <w:instrText>PAGE   \* MERGEFORMAT</w:instrText>
    </w:r>
    <w:r>
      <w:fldChar w:fldCharType="separate"/>
    </w:r>
    <w:r w:rsidR="006C4A3D">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D29" w:rsidRDefault="000C2D29">
      <w:r>
        <w:separator/>
      </w:r>
    </w:p>
  </w:footnote>
  <w:footnote w:type="continuationSeparator" w:id="0">
    <w:p w:rsidR="000C2D29" w:rsidRDefault="000C2D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AFE" w:rsidRDefault="00E64AFE">
    <w:pPr>
      <w:pStyle w:val="Header1"/>
      <w:pBdr>
        <w:bottom w:val="single" w:sz="6" w:space="1" w:color="auto"/>
      </w:pBdr>
    </w:pPr>
    <w:r>
      <w:t>山东晨鸣纸业集团股份有限公司202</w:t>
    </w:r>
    <w:r>
      <w:rPr>
        <w:rFonts w:hint="eastAsia"/>
      </w:rPr>
      <w:t>4</w:t>
    </w:r>
    <w:r>
      <w:t>年年度</w:t>
    </w:r>
    <w:r w:rsidR="006C4A3D">
      <w:rPr>
        <w:rFonts w:hint="eastAsia"/>
      </w:rPr>
      <w:t>财务报告</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B3AA91"/>
    <w:multiLevelType w:val="singleLevel"/>
    <w:tmpl w:val="85B3AA91"/>
    <w:lvl w:ilvl="0">
      <w:start w:val="1"/>
      <w:numFmt w:val="decimal"/>
      <w:suff w:val="space"/>
      <w:lvlText w:val="（%1）"/>
      <w:lvlJc w:val="left"/>
    </w:lvl>
  </w:abstractNum>
  <w:abstractNum w:abstractNumId="1">
    <w:nsid w:val="0B158A2B"/>
    <w:multiLevelType w:val="singleLevel"/>
    <w:tmpl w:val="0B158A2B"/>
    <w:lvl w:ilvl="0">
      <w:start w:val="3"/>
      <w:numFmt w:val="decimal"/>
      <w:suff w:val="nothing"/>
      <w:lvlText w:val="%1、"/>
      <w:lvlJc w:val="left"/>
    </w:lvl>
  </w:abstractNum>
  <w:abstractNum w:abstractNumId="2">
    <w:nsid w:val="0E516CAA"/>
    <w:multiLevelType w:val="multilevel"/>
    <w:tmpl w:val="0E516CA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pStyle w:val="3"/>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nsid w:val="321A51B9"/>
    <w:multiLevelType w:val="multilevel"/>
    <w:tmpl w:val="321A51B9"/>
    <w:lvl w:ilvl="0">
      <w:start w:val="1"/>
      <w:numFmt w:val="decimalEnclosedCircle"/>
      <w:lvlText w:val="%1"/>
      <w:lvlJc w:val="left"/>
      <w:pPr>
        <w:ind w:left="360" w:hanging="36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55D5D16A"/>
    <w:multiLevelType w:val="singleLevel"/>
    <w:tmpl w:val="55D5D16A"/>
    <w:lvl w:ilvl="0">
      <w:start w:val="1"/>
      <w:numFmt w:val="decimal"/>
      <w:suff w:val="nothing"/>
      <w:lvlText w:val="%1）"/>
      <w:lvlJc w:val="left"/>
    </w:lvl>
  </w:abstractNum>
  <w:abstractNum w:abstractNumId="5">
    <w:nsid w:val="66EBC05D"/>
    <w:multiLevelType w:val="singleLevel"/>
    <w:tmpl w:val="66EBC05D"/>
    <w:lvl w:ilvl="0">
      <w:start w:val="1"/>
      <w:numFmt w:val="decimal"/>
      <w:suff w:val="nothing"/>
      <w:lvlText w:val="（%1）"/>
      <w:lvlJc w:val="left"/>
    </w:lvl>
  </w:abstractNum>
  <w:abstractNum w:abstractNumId="6">
    <w:nsid w:val="67B221AF"/>
    <w:multiLevelType w:val="singleLevel"/>
    <w:tmpl w:val="67B221AF"/>
    <w:lvl w:ilvl="0">
      <w:start w:val="5"/>
      <w:numFmt w:val="decimal"/>
      <w:suff w:val="space"/>
      <w:lvlText w:val="%1）"/>
      <w:lvlJc w:val="left"/>
    </w:lvl>
  </w:abstractNum>
  <w:num w:numId="1">
    <w:abstractNumId w:val="2"/>
  </w:num>
  <w:num w:numId="2">
    <w:abstractNumId w:val="3"/>
  </w:num>
  <w:num w:numId="3">
    <w:abstractNumId w:val="5"/>
  </w:num>
  <w:num w:numId="4">
    <w:abstractNumId w:val="1"/>
  </w:num>
  <w:num w:numId="5">
    <w:abstractNumId w:val="0"/>
  </w:num>
  <w:num w:numId="6">
    <w:abstractNumId w:val="4"/>
  </w:num>
  <w:num w:numId="7">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rson w15:author="Administrator">
    <w15:presenceInfo w15:providerId="None" w15:userId="Administrator"/>
  </w15:person>
  <w15:person w15:author="a">
    <w15:presenceInfo w15:providerId="WPS Office" w15:userId="61674186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hideSpellingErrors/>
  <w:proofState w:grammar="clean"/>
  <w:defaultTabStop w:val="420"/>
  <w:noPunctuationKerning/>
  <w:characterSpacingControl w:val="doNotCompress"/>
  <w:hdrShapeDefaults>
    <o:shapedefaults v:ext="edit" spidmax="2049" fillcolor="white">
      <v:fill color="white"/>
    </o:shapedefaults>
  </w:hdrShapeDefault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C05"/>
    <w:rsid w:val="0000139F"/>
    <w:rsid w:val="00002F6F"/>
    <w:rsid w:val="00004E59"/>
    <w:rsid w:val="00005166"/>
    <w:rsid w:val="00005942"/>
    <w:rsid w:val="0000666F"/>
    <w:rsid w:val="0000683A"/>
    <w:rsid w:val="00006F06"/>
    <w:rsid w:val="00007155"/>
    <w:rsid w:val="00007876"/>
    <w:rsid w:val="00007B95"/>
    <w:rsid w:val="000109A6"/>
    <w:rsid w:val="000129BD"/>
    <w:rsid w:val="00012CDC"/>
    <w:rsid w:val="00012D08"/>
    <w:rsid w:val="00013915"/>
    <w:rsid w:val="00013BA4"/>
    <w:rsid w:val="00013BB5"/>
    <w:rsid w:val="00013FE4"/>
    <w:rsid w:val="00014E2F"/>
    <w:rsid w:val="000153D0"/>
    <w:rsid w:val="00015D19"/>
    <w:rsid w:val="00016224"/>
    <w:rsid w:val="0001630B"/>
    <w:rsid w:val="0001680D"/>
    <w:rsid w:val="00016BBF"/>
    <w:rsid w:val="000174B8"/>
    <w:rsid w:val="00017B8D"/>
    <w:rsid w:val="00017FF0"/>
    <w:rsid w:val="00020D29"/>
    <w:rsid w:val="000217D3"/>
    <w:rsid w:val="0002206B"/>
    <w:rsid w:val="00022184"/>
    <w:rsid w:val="0002250D"/>
    <w:rsid w:val="00022675"/>
    <w:rsid w:val="00022BD6"/>
    <w:rsid w:val="00023D47"/>
    <w:rsid w:val="0002432F"/>
    <w:rsid w:val="0002445B"/>
    <w:rsid w:val="00025C86"/>
    <w:rsid w:val="00026702"/>
    <w:rsid w:val="000276A1"/>
    <w:rsid w:val="0002776E"/>
    <w:rsid w:val="00027E2B"/>
    <w:rsid w:val="000308ED"/>
    <w:rsid w:val="00031297"/>
    <w:rsid w:val="00031428"/>
    <w:rsid w:val="00032182"/>
    <w:rsid w:val="00032746"/>
    <w:rsid w:val="0003288E"/>
    <w:rsid w:val="00032FA2"/>
    <w:rsid w:val="00033239"/>
    <w:rsid w:val="000336EE"/>
    <w:rsid w:val="00034B01"/>
    <w:rsid w:val="00034FCD"/>
    <w:rsid w:val="00035E56"/>
    <w:rsid w:val="00036244"/>
    <w:rsid w:val="000400C8"/>
    <w:rsid w:val="00040AA1"/>
    <w:rsid w:val="00041580"/>
    <w:rsid w:val="00041A10"/>
    <w:rsid w:val="0004292D"/>
    <w:rsid w:val="00043568"/>
    <w:rsid w:val="0004373D"/>
    <w:rsid w:val="00043E43"/>
    <w:rsid w:val="000445EA"/>
    <w:rsid w:val="000449A8"/>
    <w:rsid w:val="000456C5"/>
    <w:rsid w:val="00045F96"/>
    <w:rsid w:val="00047452"/>
    <w:rsid w:val="000475CF"/>
    <w:rsid w:val="00047820"/>
    <w:rsid w:val="000478AB"/>
    <w:rsid w:val="00050FCA"/>
    <w:rsid w:val="00051B3E"/>
    <w:rsid w:val="00051B4F"/>
    <w:rsid w:val="00052412"/>
    <w:rsid w:val="00052A04"/>
    <w:rsid w:val="000534F6"/>
    <w:rsid w:val="00053DBD"/>
    <w:rsid w:val="000553C9"/>
    <w:rsid w:val="00055C22"/>
    <w:rsid w:val="000572A1"/>
    <w:rsid w:val="00057546"/>
    <w:rsid w:val="000576A5"/>
    <w:rsid w:val="00057D9C"/>
    <w:rsid w:val="00057ED4"/>
    <w:rsid w:val="00060045"/>
    <w:rsid w:val="00060063"/>
    <w:rsid w:val="00060381"/>
    <w:rsid w:val="00062107"/>
    <w:rsid w:val="000629B2"/>
    <w:rsid w:val="00062B49"/>
    <w:rsid w:val="00063708"/>
    <w:rsid w:val="000638D3"/>
    <w:rsid w:val="00064BDE"/>
    <w:rsid w:val="000667A2"/>
    <w:rsid w:val="00066E51"/>
    <w:rsid w:val="000674A4"/>
    <w:rsid w:val="00067538"/>
    <w:rsid w:val="00067655"/>
    <w:rsid w:val="00067FD3"/>
    <w:rsid w:val="00070ACB"/>
    <w:rsid w:val="00070B22"/>
    <w:rsid w:val="00070F29"/>
    <w:rsid w:val="000711AA"/>
    <w:rsid w:val="00071654"/>
    <w:rsid w:val="00071B43"/>
    <w:rsid w:val="000729F6"/>
    <w:rsid w:val="00073237"/>
    <w:rsid w:val="00073CC1"/>
    <w:rsid w:val="00074377"/>
    <w:rsid w:val="00074757"/>
    <w:rsid w:val="00074786"/>
    <w:rsid w:val="000769F6"/>
    <w:rsid w:val="00076E47"/>
    <w:rsid w:val="00076FF5"/>
    <w:rsid w:val="00077F11"/>
    <w:rsid w:val="000806F9"/>
    <w:rsid w:val="0008171E"/>
    <w:rsid w:val="000837D3"/>
    <w:rsid w:val="00083E62"/>
    <w:rsid w:val="000849C4"/>
    <w:rsid w:val="00084CFC"/>
    <w:rsid w:val="00085380"/>
    <w:rsid w:val="00085E36"/>
    <w:rsid w:val="000860BC"/>
    <w:rsid w:val="00086BA2"/>
    <w:rsid w:val="00087000"/>
    <w:rsid w:val="000916BA"/>
    <w:rsid w:val="00091F08"/>
    <w:rsid w:val="00092544"/>
    <w:rsid w:val="00093578"/>
    <w:rsid w:val="00094522"/>
    <w:rsid w:val="000946AB"/>
    <w:rsid w:val="00094A0A"/>
    <w:rsid w:val="00094A72"/>
    <w:rsid w:val="000953C1"/>
    <w:rsid w:val="0009585A"/>
    <w:rsid w:val="00095E4B"/>
    <w:rsid w:val="00096544"/>
    <w:rsid w:val="00097BA4"/>
    <w:rsid w:val="000A0EFA"/>
    <w:rsid w:val="000A1A15"/>
    <w:rsid w:val="000A2E39"/>
    <w:rsid w:val="000A3177"/>
    <w:rsid w:val="000A4BDF"/>
    <w:rsid w:val="000A5390"/>
    <w:rsid w:val="000A60E2"/>
    <w:rsid w:val="000A6736"/>
    <w:rsid w:val="000A6C72"/>
    <w:rsid w:val="000A6F74"/>
    <w:rsid w:val="000A70BC"/>
    <w:rsid w:val="000A7464"/>
    <w:rsid w:val="000B06E9"/>
    <w:rsid w:val="000B1138"/>
    <w:rsid w:val="000B2192"/>
    <w:rsid w:val="000B21BD"/>
    <w:rsid w:val="000B2360"/>
    <w:rsid w:val="000B2F21"/>
    <w:rsid w:val="000B2FF8"/>
    <w:rsid w:val="000B33A1"/>
    <w:rsid w:val="000B3598"/>
    <w:rsid w:val="000B38BF"/>
    <w:rsid w:val="000B5BAE"/>
    <w:rsid w:val="000B60F5"/>
    <w:rsid w:val="000B64F8"/>
    <w:rsid w:val="000B6B4A"/>
    <w:rsid w:val="000B7E98"/>
    <w:rsid w:val="000C086C"/>
    <w:rsid w:val="000C0AEA"/>
    <w:rsid w:val="000C0C32"/>
    <w:rsid w:val="000C14BE"/>
    <w:rsid w:val="000C1781"/>
    <w:rsid w:val="000C1860"/>
    <w:rsid w:val="000C26FD"/>
    <w:rsid w:val="000C2D29"/>
    <w:rsid w:val="000C3B5E"/>
    <w:rsid w:val="000C5266"/>
    <w:rsid w:val="000C561D"/>
    <w:rsid w:val="000C5BA6"/>
    <w:rsid w:val="000C7F4B"/>
    <w:rsid w:val="000D005E"/>
    <w:rsid w:val="000D0F0A"/>
    <w:rsid w:val="000D1386"/>
    <w:rsid w:val="000D2761"/>
    <w:rsid w:val="000D2856"/>
    <w:rsid w:val="000D2B13"/>
    <w:rsid w:val="000D2F52"/>
    <w:rsid w:val="000D3691"/>
    <w:rsid w:val="000D4370"/>
    <w:rsid w:val="000D44E2"/>
    <w:rsid w:val="000D687D"/>
    <w:rsid w:val="000D6A73"/>
    <w:rsid w:val="000E081E"/>
    <w:rsid w:val="000E0AE3"/>
    <w:rsid w:val="000E10B8"/>
    <w:rsid w:val="000E215C"/>
    <w:rsid w:val="000E2721"/>
    <w:rsid w:val="000E54C9"/>
    <w:rsid w:val="000E54CD"/>
    <w:rsid w:val="000E67DB"/>
    <w:rsid w:val="000E68FC"/>
    <w:rsid w:val="000F0368"/>
    <w:rsid w:val="000F1BB2"/>
    <w:rsid w:val="000F1D2D"/>
    <w:rsid w:val="000F1F0F"/>
    <w:rsid w:val="000F40EE"/>
    <w:rsid w:val="000F42CC"/>
    <w:rsid w:val="000F4918"/>
    <w:rsid w:val="000F4A2D"/>
    <w:rsid w:val="000F5807"/>
    <w:rsid w:val="000F6237"/>
    <w:rsid w:val="000F6C6E"/>
    <w:rsid w:val="000F6CF6"/>
    <w:rsid w:val="000F7484"/>
    <w:rsid w:val="000F79DA"/>
    <w:rsid w:val="001004C6"/>
    <w:rsid w:val="00100AAD"/>
    <w:rsid w:val="00102F61"/>
    <w:rsid w:val="001031E0"/>
    <w:rsid w:val="001032A7"/>
    <w:rsid w:val="00103629"/>
    <w:rsid w:val="00104101"/>
    <w:rsid w:val="00104E80"/>
    <w:rsid w:val="00106B73"/>
    <w:rsid w:val="00110340"/>
    <w:rsid w:val="00110CD9"/>
    <w:rsid w:val="00110F24"/>
    <w:rsid w:val="00111068"/>
    <w:rsid w:val="001123AA"/>
    <w:rsid w:val="00112A02"/>
    <w:rsid w:val="001131F3"/>
    <w:rsid w:val="00114D16"/>
    <w:rsid w:val="00115BE0"/>
    <w:rsid w:val="0011617D"/>
    <w:rsid w:val="00117252"/>
    <w:rsid w:val="0011731F"/>
    <w:rsid w:val="00121CF7"/>
    <w:rsid w:val="0012244E"/>
    <w:rsid w:val="00123331"/>
    <w:rsid w:val="00123570"/>
    <w:rsid w:val="001236EF"/>
    <w:rsid w:val="00124842"/>
    <w:rsid w:val="00124B2B"/>
    <w:rsid w:val="00125CCB"/>
    <w:rsid w:val="001268DF"/>
    <w:rsid w:val="001300F9"/>
    <w:rsid w:val="00131606"/>
    <w:rsid w:val="0013170D"/>
    <w:rsid w:val="001323AB"/>
    <w:rsid w:val="001326E2"/>
    <w:rsid w:val="0013343E"/>
    <w:rsid w:val="001334C1"/>
    <w:rsid w:val="001338B7"/>
    <w:rsid w:val="001338E3"/>
    <w:rsid w:val="001340BD"/>
    <w:rsid w:val="001356E9"/>
    <w:rsid w:val="0013678A"/>
    <w:rsid w:val="001369FD"/>
    <w:rsid w:val="00136C0B"/>
    <w:rsid w:val="00137726"/>
    <w:rsid w:val="00140E68"/>
    <w:rsid w:val="00141199"/>
    <w:rsid w:val="00141595"/>
    <w:rsid w:val="0014173B"/>
    <w:rsid w:val="00141A5D"/>
    <w:rsid w:val="00141B5F"/>
    <w:rsid w:val="0014216D"/>
    <w:rsid w:val="00142F19"/>
    <w:rsid w:val="00143159"/>
    <w:rsid w:val="00143344"/>
    <w:rsid w:val="00143C03"/>
    <w:rsid w:val="00143CD9"/>
    <w:rsid w:val="001444B5"/>
    <w:rsid w:val="0014454B"/>
    <w:rsid w:val="00144EE1"/>
    <w:rsid w:val="00145D0B"/>
    <w:rsid w:val="001461F9"/>
    <w:rsid w:val="00146B7F"/>
    <w:rsid w:val="00147F61"/>
    <w:rsid w:val="0015106D"/>
    <w:rsid w:val="00152592"/>
    <w:rsid w:val="00152D4A"/>
    <w:rsid w:val="001535E5"/>
    <w:rsid w:val="00153611"/>
    <w:rsid w:val="001537EE"/>
    <w:rsid w:val="00153E98"/>
    <w:rsid w:val="001553F4"/>
    <w:rsid w:val="00155701"/>
    <w:rsid w:val="00155820"/>
    <w:rsid w:val="001559B7"/>
    <w:rsid w:val="00155A69"/>
    <w:rsid w:val="00156447"/>
    <w:rsid w:val="00156A62"/>
    <w:rsid w:val="00156AB5"/>
    <w:rsid w:val="0016085B"/>
    <w:rsid w:val="00160B9C"/>
    <w:rsid w:val="00160C6C"/>
    <w:rsid w:val="00161231"/>
    <w:rsid w:val="00161974"/>
    <w:rsid w:val="00162763"/>
    <w:rsid w:val="001630AB"/>
    <w:rsid w:val="001638E3"/>
    <w:rsid w:val="00164A44"/>
    <w:rsid w:val="00164E36"/>
    <w:rsid w:val="00165204"/>
    <w:rsid w:val="00165373"/>
    <w:rsid w:val="00165B23"/>
    <w:rsid w:val="001660B9"/>
    <w:rsid w:val="001665D2"/>
    <w:rsid w:val="00166E09"/>
    <w:rsid w:val="001670CA"/>
    <w:rsid w:val="00167300"/>
    <w:rsid w:val="00167C05"/>
    <w:rsid w:val="0017043A"/>
    <w:rsid w:val="00170CA7"/>
    <w:rsid w:val="001710B7"/>
    <w:rsid w:val="00172588"/>
    <w:rsid w:val="00172A27"/>
    <w:rsid w:val="0017394B"/>
    <w:rsid w:val="00173F40"/>
    <w:rsid w:val="00175378"/>
    <w:rsid w:val="00175BC2"/>
    <w:rsid w:val="0017674C"/>
    <w:rsid w:val="00176836"/>
    <w:rsid w:val="0017724D"/>
    <w:rsid w:val="0017739C"/>
    <w:rsid w:val="0018078E"/>
    <w:rsid w:val="00181ECD"/>
    <w:rsid w:val="00182639"/>
    <w:rsid w:val="00182B5A"/>
    <w:rsid w:val="0018346C"/>
    <w:rsid w:val="001836E4"/>
    <w:rsid w:val="001843C3"/>
    <w:rsid w:val="00185528"/>
    <w:rsid w:val="0018631E"/>
    <w:rsid w:val="00186600"/>
    <w:rsid w:val="00190663"/>
    <w:rsid w:val="00190726"/>
    <w:rsid w:val="00190743"/>
    <w:rsid w:val="0019098F"/>
    <w:rsid w:val="00191011"/>
    <w:rsid w:val="001913F7"/>
    <w:rsid w:val="00191CF4"/>
    <w:rsid w:val="00192772"/>
    <w:rsid w:val="001931FD"/>
    <w:rsid w:val="00193E64"/>
    <w:rsid w:val="001941A2"/>
    <w:rsid w:val="001949B2"/>
    <w:rsid w:val="00194B2F"/>
    <w:rsid w:val="00195D16"/>
    <w:rsid w:val="00196081"/>
    <w:rsid w:val="001978C6"/>
    <w:rsid w:val="00197A59"/>
    <w:rsid w:val="00197AF7"/>
    <w:rsid w:val="00197E99"/>
    <w:rsid w:val="001A007B"/>
    <w:rsid w:val="001A1505"/>
    <w:rsid w:val="001A166A"/>
    <w:rsid w:val="001A16F5"/>
    <w:rsid w:val="001A1A52"/>
    <w:rsid w:val="001A1C91"/>
    <w:rsid w:val="001A1E0F"/>
    <w:rsid w:val="001A2B36"/>
    <w:rsid w:val="001A2F09"/>
    <w:rsid w:val="001A349A"/>
    <w:rsid w:val="001A3D49"/>
    <w:rsid w:val="001A4A2B"/>
    <w:rsid w:val="001A5879"/>
    <w:rsid w:val="001A66FC"/>
    <w:rsid w:val="001A6789"/>
    <w:rsid w:val="001A7C13"/>
    <w:rsid w:val="001B0309"/>
    <w:rsid w:val="001B2155"/>
    <w:rsid w:val="001B2BAC"/>
    <w:rsid w:val="001B326B"/>
    <w:rsid w:val="001B332C"/>
    <w:rsid w:val="001B356A"/>
    <w:rsid w:val="001B4B4D"/>
    <w:rsid w:val="001B4DA6"/>
    <w:rsid w:val="001B557C"/>
    <w:rsid w:val="001B666D"/>
    <w:rsid w:val="001B6780"/>
    <w:rsid w:val="001B69C6"/>
    <w:rsid w:val="001B70FB"/>
    <w:rsid w:val="001B7CE1"/>
    <w:rsid w:val="001C19E9"/>
    <w:rsid w:val="001C417F"/>
    <w:rsid w:val="001C5A78"/>
    <w:rsid w:val="001C696C"/>
    <w:rsid w:val="001C73E3"/>
    <w:rsid w:val="001D0E37"/>
    <w:rsid w:val="001D1E70"/>
    <w:rsid w:val="001D2194"/>
    <w:rsid w:val="001D2D87"/>
    <w:rsid w:val="001D2FF8"/>
    <w:rsid w:val="001D486C"/>
    <w:rsid w:val="001D4D05"/>
    <w:rsid w:val="001D4D8A"/>
    <w:rsid w:val="001D5687"/>
    <w:rsid w:val="001D5B90"/>
    <w:rsid w:val="001D6C4D"/>
    <w:rsid w:val="001E03B2"/>
    <w:rsid w:val="001E143C"/>
    <w:rsid w:val="001E2586"/>
    <w:rsid w:val="001E2821"/>
    <w:rsid w:val="001E2C6F"/>
    <w:rsid w:val="001E3964"/>
    <w:rsid w:val="001E3BBE"/>
    <w:rsid w:val="001E3C44"/>
    <w:rsid w:val="001E4716"/>
    <w:rsid w:val="001E520D"/>
    <w:rsid w:val="001E5486"/>
    <w:rsid w:val="001E59A6"/>
    <w:rsid w:val="001E65F5"/>
    <w:rsid w:val="001E6723"/>
    <w:rsid w:val="001F0BD6"/>
    <w:rsid w:val="001F1455"/>
    <w:rsid w:val="001F306A"/>
    <w:rsid w:val="001F38F5"/>
    <w:rsid w:val="001F5106"/>
    <w:rsid w:val="001F564C"/>
    <w:rsid w:val="001F5B74"/>
    <w:rsid w:val="001F5D1E"/>
    <w:rsid w:val="001F614A"/>
    <w:rsid w:val="001F7323"/>
    <w:rsid w:val="001F74F0"/>
    <w:rsid w:val="00200B8D"/>
    <w:rsid w:val="00202076"/>
    <w:rsid w:val="002021E8"/>
    <w:rsid w:val="00202399"/>
    <w:rsid w:val="00202D0C"/>
    <w:rsid w:val="002030B4"/>
    <w:rsid w:val="00203F95"/>
    <w:rsid w:val="002049EB"/>
    <w:rsid w:val="00204AAF"/>
    <w:rsid w:val="002059CD"/>
    <w:rsid w:val="00205ED2"/>
    <w:rsid w:val="00206022"/>
    <w:rsid w:val="0020699E"/>
    <w:rsid w:val="00206DEB"/>
    <w:rsid w:val="00207C7F"/>
    <w:rsid w:val="00210068"/>
    <w:rsid w:val="00211F96"/>
    <w:rsid w:val="002126C1"/>
    <w:rsid w:val="00212942"/>
    <w:rsid w:val="00212D38"/>
    <w:rsid w:val="002133B8"/>
    <w:rsid w:val="00213833"/>
    <w:rsid w:val="00213EA6"/>
    <w:rsid w:val="0021403F"/>
    <w:rsid w:val="0021412D"/>
    <w:rsid w:val="002150A9"/>
    <w:rsid w:val="0021524D"/>
    <w:rsid w:val="00215721"/>
    <w:rsid w:val="002159EE"/>
    <w:rsid w:val="00220806"/>
    <w:rsid w:val="00220FFB"/>
    <w:rsid w:val="00221A94"/>
    <w:rsid w:val="00221BE6"/>
    <w:rsid w:val="00222145"/>
    <w:rsid w:val="002231F3"/>
    <w:rsid w:val="00225B7F"/>
    <w:rsid w:val="00225D4A"/>
    <w:rsid w:val="0022679D"/>
    <w:rsid w:val="00230294"/>
    <w:rsid w:val="00230C3B"/>
    <w:rsid w:val="00230CFB"/>
    <w:rsid w:val="002311E2"/>
    <w:rsid w:val="002326F7"/>
    <w:rsid w:val="002329EA"/>
    <w:rsid w:val="00232A0A"/>
    <w:rsid w:val="00232CC9"/>
    <w:rsid w:val="00232DF6"/>
    <w:rsid w:val="002331E0"/>
    <w:rsid w:val="0023456B"/>
    <w:rsid w:val="00235C8A"/>
    <w:rsid w:val="0023653F"/>
    <w:rsid w:val="002367D9"/>
    <w:rsid w:val="00236D86"/>
    <w:rsid w:val="00236F3B"/>
    <w:rsid w:val="00240323"/>
    <w:rsid w:val="00240A3A"/>
    <w:rsid w:val="002418CE"/>
    <w:rsid w:val="00242186"/>
    <w:rsid w:val="00242615"/>
    <w:rsid w:val="0024261F"/>
    <w:rsid w:val="00242AD3"/>
    <w:rsid w:val="00243044"/>
    <w:rsid w:val="002445EB"/>
    <w:rsid w:val="00244A07"/>
    <w:rsid w:val="00244E65"/>
    <w:rsid w:val="0024544F"/>
    <w:rsid w:val="00245E84"/>
    <w:rsid w:val="00247F5F"/>
    <w:rsid w:val="0025085F"/>
    <w:rsid w:val="00250B3D"/>
    <w:rsid w:val="0025164F"/>
    <w:rsid w:val="002517A3"/>
    <w:rsid w:val="00251AC1"/>
    <w:rsid w:val="002521F3"/>
    <w:rsid w:val="0025238F"/>
    <w:rsid w:val="00252B01"/>
    <w:rsid w:val="00252DED"/>
    <w:rsid w:val="00255604"/>
    <w:rsid w:val="002556EC"/>
    <w:rsid w:val="00255BD2"/>
    <w:rsid w:val="00255EF6"/>
    <w:rsid w:val="00256AB7"/>
    <w:rsid w:val="00260A27"/>
    <w:rsid w:val="00260E0E"/>
    <w:rsid w:val="00261967"/>
    <w:rsid w:val="0026299A"/>
    <w:rsid w:val="00262ADF"/>
    <w:rsid w:val="00263132"/>
    <w:rsid w:val="002653D7"/>
    <w:rsid w:val="00265E9B"/>
    <w:rsid w:val="00266955"/>
    <w:rsid w:val="00270F6E"/>
    <w:rsid w:val="00271C17"/>
    <w:rsid w:val="002722BE"/>
    <w:rsid w:val="0027257E"/>
    <w:rsid w:val="00272702"/>
    <w:rsid w:val="00272FAF"/>
    <w:rsid w:val="0027311A"/>
    <w:rsid w:val="002745F8"/>
    <w:rsid w:val="00275C96"/>
    <w:rsid w:val="0027635C"/>
    <w:rsid w:val="00276EA5"/>
    <w:rsid w:val="00281DF6"/>
    <w:rsid w:val="00282D56"/>
    <w:rsid w:val="00283E63"/>
    <w:rsid w:val="00284D76"/>
    <w:rsid w:val="00284E72"/>
    <w:rsid w:val="00285710"/>
    <w:rsid w:val="00285ED2"/>
    <w:rsid w:val="00286574"/>
    <w:rsid w:val="00287F6D"/>
    <w:rsid w:val="002900EE"/>
    <w:rsid w:val="0029073E"/>
    <w:rsid w:val="0029083C"/>
    <w:rsid w:val="002914CE"/>
    <w:rsid w:val="002922F5"/>
    <w:rsid w:val="00293098"/>
    <w:rsid w:val="0029417E"/>
    <w:rsid w:val="002943AF"/>
    <w:rsid w:val="0029527D"/>
    <w:rsid w:val="00295836"/>
    <w:rsid w:val="00295C8F"/>
    <w:rsid w:val="002962BF"/>
    <w:rsid w:val="002967A9"/>
    <w:rsid w:val="00297166"/>
    <w:rsid w:val="002975C5"/>
    <w:rsid w:val="00297973"/>
    <w:rsid w:val="00297FEA"/>
    <w:rsid w:val="002A060C"/>
    <w:rsid w:val="002A0B85"/>
    <w:rsid w:val="002A0CD1"/>
    <w:rsid w:val="002A158A"/>
    <w:rsid w:val="002A1A36"/>
    <w:rsid w:val="002A1D0A"/>
    <w:rsid w:val="002A2F33"/>
    <w:rsid w:val="002A36A6"/>
    <w:rsid w:val="002A3704"/>
    <w:rsid w:val="002A430F"/>
    <w:rsid w:val="002A44B4"/>
    <w:rsid w:val="002A4771"/>
    <w:rsid w:val="002A48D2"/>
    <w:rsid w:val="002A4BBD"/>
    <w:rsid w:val="002A4ECA"/>
    <w:rsid w:val="002A5197"/>
    <w:rsid w:val="002A6C7C"/>
    <w:rsid w:val="002A6D6E"/>
    <w:rsid w:val="002A7236"/>
    <w:rsid w:val="002B1874"/>
    <w:rsid w:val="002B2CA2"/>
    <w:rsid w:val="002B2CBB"/>
    <w:rsid w:val="002B2DB7"/>
    <w:rsid w:val="002B316F"/>
    <w:rsid w:val="002B3761"/>
    <w:rsid w:val="002B4413"/>
    <w:rsid w:val="002B4C89"/>
    <w:rsid w:val="002B4D16"/>
    <w:rsid w:val="002B75B6"/>
    <w:rsid w:val="002B76B4"/>
    <w:rsid w:val="002B7E05"/>
    <w:rsid w:val="002B7E10"/>
    <w:rsid w:val="002C03F1"/>
    <w:rsid w:val="002C046A"/>
    <w:rsid w:val="002C0FDC"/>
    <w:rsid w:val="002C1F6C"/>
    <w:rsid w:val="002C20D6"/>
    <w:rsid w:val="002C2C98"/>
    <w:rsid w:val="002C4414"/>
    <w:rsid w:val="002C486A"/>
    <w:rsid w:val="002C4DCE"/>
    <w:rsid w:val="002C4FCC"/>
    <w:rsid w:val="002C5085"/>
    <w:rsid w:val="002C50BB"/>
    <w:rsid w:val="002C5505"/>
    <w:rsid w:val="002C6586"/>
    <w:rsid w:val="002C6FD5"/>
    <w:rsid w:val="002C70BB"/>
    <w:rsid w:val="002C7343"/>
    <w:rsid w:val="002C7569"/>
    <w:rsid w:val="002C79CF"/>
    <w:rsid w:val="002C7F59"/>
    <w:rsid w:val="002D043F"/>
    <w:rsid w:val="002D0786"/>
    <w:rsid w:val="002D0960"/>
    <w:rsid w:val="002D3C4D"/>
    <w:rsid w:val="002D42B8"/>
    <w:rsid w:val="002D4F88"/>
    <w:rsid w:val="002D62A9"/>
    <w:rsid w:val="002D6ED9"/>
    <w:rsid w:val="002D75A5"/>
    <w:rsid w:val="002E04CF"/>
    <w:rsid w:val="002E11FD"/>
    <w:rsid w:val="002E133A"/>
    <w:rsid w:val="002E1494"/>
    <w:rsid w:val="002E1D8D"/>
    <w:rsid w:val="002E382C"/>
    <w:rsid w:val="002E3FD7"/>
    <w:rsid w:val="002E4150"/>
    <w:rsid w:val="002E4939"/>
    <w:rsid w:val="002E6894"/>
    <w:rsid w:val="002E6A87"/>
    <w:rsid w:val="002E6F48"/>
    <w:rsid w:val="002E73F5"/>
    <w:rsid w:val="002E7A0A"/>
    <w:rsid w:val="002E7BBC"/>
    <w:rsid w:val="002E7BE4"/>
    <w:rsid w:val="002F0A7A"/>
    <w:rsid w:val="002F100C"/>
    <w:rsid w:val="002F112C"/>
    <w:rsid w:val="002F15F2"/>
    <w:rsid w:val="002F20B2"/>
    <w:rsid w:val="002F2551"/>
    <w:rsid w:val="002F2770"/>
    <w:rsid w:val="002F3A88"/>
    <w:rsid w:val="002F49CB"/>
    <w:rsid w:val="002F561E"/>
    <w:rsid w:val="002F7355"/>
    <w:rsid w:val="002F78D0"/>
    <w:rsid w:val="00300E46"/>
    <w:rsid w:val="0030106B"/>
    <w:rsid w:val="00302161"/>
    <w:rsid w:val="00302BEB"/>
    <w:rsid w:val="00302C1C"/>
    <w:rsid w:val="003034B8"/>
    <w:rsid w:val="00303FDD"/>
    <w:rsid w:val="00304404"/>
    <w:rsid w:val="003044E7"/>
    <w:rsid w:val="003045D5"/>
    <w:rsid w:val="00304A77"/>
    <w:rsid w:val="0030522A"/>
    <w:rsid w:val="003058A8"/>
    <w:rsid w:val="00305922"/>
    <w:rsid w:val="00306046"/>
    <w:rsid w:val="003068C2"/>
    <w:rsid w:val="00306BC0"/>
    <w:rsid w:val="00310054"/>
    <w:rsid w:val="00310CD6"/>
    <w:rsid w:val="003112BA"/>
    <w:rsid w:val="003138A0"/>
    <w:rsid w:val="00314044"/>
    <w:rsid w:val="00314465"/>
    <w:rsid w:val="0031495A"/>
    <w:rsid w:val="00315C54"/>
    <w:rsid w:val="0031600F"/>
    <w:rsid w:val="003160F2"/>
    <w:rsid w:val="003162D3"/>
    <w:rsid w:val="0031758E"/>
    <w:rsid w:val="003175C2"/>
    <w:rsid w:val="00317906"/>
    <w:rsid w:val="0032008B"/>
    <w:rsid w:val="00320BDC"/>
    <w:rsid w:val="003210F6"/>
    <w:rsid w:val="00323342"/>
    <w:rsid w:val="00323401"/>
    <w:rsid w:val="0032376F"/>
    <w:rsid w:val="00324543"/>
    <w:rsid w:val="003248C8"/>
    <w:rsid w:val="00326C84"/>
    <w:rsid w:val="00330E2E"/>
    <w:rsid w:val="003313BE"/>
    <w:rsid w:val="00331DDA"/>
    <w:rsid w:val="003322AE"/>
    <w:rsid w:val="0033235C"/>
    <w:rsid w:val="00332E52"/>
    <w:rsid w:val="0033429A"/>
    <w:rsid w:val="00334EDC"/>
    <w:rsid w:val="00335265"/>
    <w:rsid w:val="00337953"/>
    <w:rsid w:val="00340581"/>
    <w:rsid w:val="00340E49"/>
    <w:rsid w:val="00341D0E"/>
    <w:rsid w:val="00342A9F"/>
    <w:rsid w:val="003431F0"/>
    <w:rsid w:val="003437E4"/>
    <w:rsid w:val="00343862"/>
    <w:rsid w:val="003439DB"/>
    <w:rsid w:val="003440C9"/>
    <w:rsid w:val="003440E1"/>
    <w:rsid w:val="003440E4"/>
    <w:rsid w:val="0034487D"/>
    <w:rsid w:val="003458AA"/>
    <w:rsid w:val="00345D51"/>
    <w:rsid w:val="0034660A"/>
    <w:rsid w:val="0034663B"/>
    <w:rsid w:val="00347966"/>
    <w:rsid w:val="00347E63"/>
    <w:rsid w:val="00351262"/>
    <w:rsid w:val="00351801"/>
    <w:rsid w:val="003519DD"/>
    <w:rsid w:val="003528D3"/>
    <w:rsid w:val="003537CE"/>
    <w:rsid w:val="003538F4"/>
    <w:rsid w:val="00353F3B"/>
    <w:rsid w:val="00354712"/>
    <w:rsid w:val="00355027"/>
    <w:rsid w:val="0035513A"/>
    <w:rsid w:val="00355DFC"/>
    <w:rsid w:val="00356123"/>
    <w:rsid w:val="00356D03"/>
    <w:rsid w:val="00357BCA"/>
    <w:rsid w:val="003601AA"/>
    <w:rsid w:val="003609FD"/>
    <w:rsid w:val="00361252"/>
    <w:rsid w:val="00361C50"/>
    <w:rsid w:val="00361F8B"/>
    <w:rsid w:val="00361FD8"/>
    <w:rsid w:val="00364435"/>
    <w:rsid w:val="0036679B"/>
    <w:rsid w:val="00366AA1"/>
    <w:rsid w:val="00366F67"/>
    <w:rsid w:val="00367AB9"/>
    <w:rsid w:val="003702AF"/>
    <w:rsid w:val="00371276"/>
    <w:rsid w:val="00371D32"/>
    <w:rsid w:val="0037273D"/>
    <w:rsid w:val="00372B17"/>
    <w:rsid w:val="00372BC7"/>
    <w:rsid w:val="00373C18"/>
    <w:rsid w:val="00376CAC"/>
    <w:rsid w:val="00377002"/>
    <w:rsid w:val="00377267"/>
    <w:rsid w:val="0037726B"/>
    <w:rsid w:val="003807D2"/>
    <w:rsid w:val="00381751"/>
    <w:rsid w:val="003824A5"/>
    <w:rsid w:val="003825A5"/>
    <w:rsid w:val="00382AE8"/>
    <w:rsid w:val="00382CEB"/>
    <w:rsid w:val="003832BA"/>
    <w:rsid w:val="00383A68"/>
    <w:rsid w:val="00383CA1"/>
    <w:rsid w:val="00384236"/>
    <w:rsid w:val="00385071"/>
    <w:rsid w:val="003854BC"/>
    <w:rsid w:val="00386825"/>
    <w:rsid w:val="00390427"/>
    <w:rsid w:val="003904C0"/>
    <w:rsid w:val="003915ED"/>
    <w:rsid w:val="003916B2"/>
    <w:rsid w:val="00391AB2"/>
    <w:rsid w:val="00391EA4"/>
    <w:rsid w:val="00392107"/>
    <w:rsid w:val="003929F2"/>
    <w:rsid w:val="00392DDF"/>
    <w:rsid w:val="00393263"/>
    <w:rsid w:val="003935ED"/>
    <w:rsid w:val="0039385C"/>
    <w:rsid w:val="00393EBB"/>
    <w:rsid w:val="003941DF"/>
    <w:rsid w:val="00394487"/>
    <w:rsid w:val="003961DC"/>
    <w:rsid w:val="003966CE"/>
    <w:rsid w:val="00396863"/>
    <w:rsid w:val="00396E1A"/>
    <w:rsid w:val="003A1182"/>
    <w:rsid w:val="003A1569"/>
    <w:rsid w:val="003A400E"/>
    <w:rsid w:val="003A453C"/>
    <w:rsid w:val="003A4718"/>
    <w:rsid w:val="003A4AA9"/>
    <w:rsid w:val="003A510A"/>
    <w:rsid w:val="003A534D"/>
    <w:rsid w:val="003A5D03"/>
    <w:rsid w:val="003A672C"/>
    <w:rsid w:val="003A7268"/>
    <w:rsid w:val="003B0A00"/>
    <w:rsid w:val="003B0A57"/>
    <w:rsid w:val="003B1067"/>
    <w:rsid w:val="003B1CE0"/>
    <w:rsid w:val="003B317F"/>
    <w:rsid w:val="003B3CC8"/>
    <w:rsid w:val="003B3FB1"/>
    <w:rsid w:val="003B413D"/>
    <w:rsid w:val="003B6301"/>
    <w:rsid w:val="003B6BA3"/>
    <w:rsid w:val="003B7141"/>
    <w:rsid w:val="003B75C7"/>
    <w:rsid w:val="003B7CC9"/>
    <w:rsid w:val="003C07FA"/>
    <w:rsid w:val="003C0C9B"/>
    <w:rsid w:val="003C0CDA"/>
    <w:rsid w:val="003C1118"/>
    <w:rsid w:val="003C12B6"/>
    <w:rsid w:val="003C22C5"/>
    <w:rsid w:val="003C3666"/>
    <w:rsid w:val="003C4282"/>
    <w:rsid w:val="003C5913"/>
    <w:rsid w:val="003C770F"/>
    <w:rsid w:val="003C7D60"/>
    <w:rsid w:val="003D039A"/>
    <w:rsid w:val="003D096E"/>
    <w:rsid w:val="003D0AA7"/>
    <w:rsid w:val="003D0AEF"/>
    <w:rsid w:val="003D0C4B"/>
    <w:rsid w:val="003D139F"/>
    <w:rsid w:val="003D18CD"/>
    <w:rsid w:val="003D2A08"/>
    <w:rsid w:val="003D2FB9"/>
    <w:rsid w:val="003D3D70"/>
    <w:rsid w:val="003D4A00"/>
    <w:rsid w:val="003D50F3"/>
    <w:rsid w:val="003D522D"/>
    <w:rsid w:val="003D63C1"/>
    <w:rsid w:val="003D7FBF"/>
    <w:rsid w:val="003E0967"/>
    <w:rsid w:val="003E0C97"/>
    <w:rsid w:val="003E1224"/>
    <w:rsid w:val="003E17E0"/>
    <w:rsid w:val="003E24B2"/>
    <w:rsid w:val="003E2699"/>
    <w:rsid w:val="003E2928"/>
    <w:rsid w:val="003E3560"/>
    <w:rsid w:val="003E38CD"/>
    <w:rsid w:val="003E483E"/>
    <w:rsid w:val="003E55FF"/>
    <w:rsid w:val="003E5763"/>
    <w:rsid w:val="003E5907"/>
    <w:rsid w:val="003E615E"/>
    <w:rsid w:val="003E6736"/>
    <w:rsid w:val="003E6DAD"/>
    <w:rsid w:val="003E6FE3"/>
    <w:rsid w:val="003E708F"/>
    <w:rsid w:val="003E74B5"/>
    <w:rsid w:val="003E7DCE"/>
    <w:rsid w:val="003F0030"/>
    <w:rsid w:val="003F0790"/>
    <w:rsid w:val="003F0936"/>
    <w:rsid w:val="003F0E3C"/>
    <w:rsid w:val="003F1096"/>
    <w:rsid w:val="003F145F"/>
    <w:rsid w:val="003F2AFD"/>
    <w:rsid w:val="003F30C3"/>
    <w:rsid w:val="003F36BC"/>
    <w:rsid w:val="003F37D4"/>
    <w:rsid w:val="003F459E"/>
    <w:rsid w:val="003F4AB0"/>
    <w:rsid w:val="003F60DD"/>
    <w:rsid w:val="003F62D7"/>
    <w:rsid w:val="003F7071"/>
    <w:rsid w:val="003F7949"/>
    <w:rsid w:val="003F7C83"/>
    <w:rsid w:val="004000AB"/>
    <w:rsid w:val="0040030A"/>
    <w:rsid w:val="0040073E"/>
    <w:rsid w:val="00400C04"/>
    <w:rsid w:val="00401207"/>
    <w:rsid w:val="00401937"/>
    <w:rsid w:val="00401AC2"/>
    <w:rsid w:val="00401DDB"/>
    <w:rsid w:val="004023D3"/>
    <w:rsid w:val="00402478"/>
    <w:rsid w:val="00402916"/>
    <w:rsid w:val="00402AFE"/>
    <w:rsid w:val="00403A1E"/>
    <w:rsid w:val="00403CD6"/>
    <w:rsid w:val="00403CDD"/>
    <w:rsid w:val="00403CE8"/>
    <w:rsid w:val="00404B20"/>
    <w:rsid w:val="00404E95"/>
    <w:rsid w:val="00405607"/>
    <w:rsid w:val="00405865"/>
    <w:rsid w:val="00406652"/>
    <w:rsid w:val="00406F03"/>
    <w:rsid w:val="00407F07"/>
    <w:rsid w:val="00407F82"/>
    <w:rsid w:val="004105C9"/>
    <w:rsid w:val="00410E4A"/>
    <w:rsid w:val="004112A7"/>
    <w:rsid w:val="00411C86"/>
    <w:rsid w:val="00412518"/>
    <w:rsid w:val="004128D1"/>
    <w:rsid w:val="00412B76"/>
    <w:rsid w:val="00412D98"/>
    <w:rsid w:val="00412D99"/>
    <w:rsid w:val="004134FC"/>
    <w:rsid w:val="0041358C"/>
    <w:rsid w:val="00414ACE"/>
    <w:rsid w:val="004169A5"/>
    <w:rsid w:val="00420021"/>
    <w:rsid w:val="004201CE"/>
    <w:rsid w:val="00420287"/>
    <w:rsid w:val="004206FC"/>
    <w:rsid w:val="004209ED"/>
    <w:rsid w:val="00424191"/>
    <w:rsid w:val="00424624"/>
    <w:rsid w:val="0042471E"/>
    <w:rsid w:val="00424C9C"/>
    <w:rsid w:val="00426532"/>
    <w:rsid w:val="0042690B"/>
    <w:rsid w:val="00427499"/>
    <w:rsid w:val="00427A85"/>
    <w:rsid w:val="00431B08"/>
    <w:rsid w:val="00431D0F"/>
    <w:rsid w:val="004324A1"/>
    <w:rsid w:val="00434106"/>
    <w:rsid w:val="00434312"/>
    <w:rsid w:val="0043524B"/>
    <w:rsid w:val="004357E1"/>
    <w:rsid w:val="00435AD6"/>
    <w:rsid w:val="004367CF"/>
    <w:rsid w:val="00436E47"/>
    <w:rsid w:val="004408AE"/>
    <w:rsid w:val="004408CB"/>
    <w:rsid w:val="00440B7B"/>
    <w:rsid w:val="00440E40"/>
    <w:rsid w:val="00440F11"/>
    <w:rsid w:val="00441472"/>
    <w:rsid w:val="00441687"/>
    <w:rsid w:val="00441804"/>
    <w:rsid w:val="00442FA7"/>
    <w:rsid w:val="00443264"/>
    <w:rsid w:val="00443496"/>
    <w:rsid w:val="00445BF7"/>
    <w:rsid w:val="004462A0"/>
    <w:rsid w:val="0044651C"/>
    <w:rsid w:val="00446EAE"/>
    <w:rsid w:val="0044710B"/>
    <w:rsid w:val="00447278"/>
    <w:rsid w:val="0045009A"/>
    <w:rsid w:val="004507BC"/>
    <w:rsid w:val="0045230E"/>
    <w:rsid w:val="004526D2"/>
    <w:rsid w:val="004527A0"/>
    <w:rsid w:val="0045474F"/>
    <w:rsid w:val="00455437"/>
    <w:rsid w:val="004557E1"/>
    <w:rsid w:val="00455C39"/>
    <w:rsid w:val="00455F49"/>
    <w:rsid w:val="0045650B"/>
    <w:rsid w:val="0045678C"/>
    <w:rsid w:val="00457010"/>
    <w:rsid w:val="00457153"/>
    <w:rsid w:val="004575D8"/>
    <w:rsid w:val="00463D58"/>
    <w:rsid w:val="004643E1"/>
    <w:rsid w:val="00464415"/>
    <w:rsid w:val="00464763"/>
    <w:rsid w:val="00464C09"/>
    <w:rsid w:val="00464E35"/>
    <w:rsid w:val="00464F91"/>
    <w:rsid w:val="004657A2"/>
    <w:rsid w:val="00466CEF"/>
    <w:rsid w:val="00466F77"/>
    <w:rsid w:val="00467DFC"/>
    <w:rsid w:val="00470706"/>
    <w:rsid w:val="00471AC0"/>
    <w:rsid w:val="00471BF4"/>
    <w:rsid w:val="00471F02"/>
    <w:rsid w:val="004721F6"/>
    <w:rsid w:val="00473048"/>
    <w:rsid w:val="00473FF9"/>
    <w:rsid w:val="0047432B"/>
    <w:rsid w:val="00474F1C"/>
    <w:rsid w:val="00474F22"/>
    <w:rsid w:val="0047508C"/>
    <w:rsid w:val="004757FC"/>
    <w:rsid w:val="0047627A"/>
    <w:rsid w:val="0047667D"/>
    <w:rsid w:val="00476A38"/>
    <w:rsid w:val="00477760"/>
    <w:rsid w:val="00477887"/>
    <w:rsid w:val="00477C19"/>
    <w:rsid w:val="004803E4"/>
    <w:rsid w:val="0048051E"/>
    <w:rsid w:val="00481F57"/>
    <w:rsid w:val="00482288"/>
    <w:rsid w:val="004835E0"/>
    <w:rsid w:val="0048392C"/>
    <w:rsid w:val="004840BE"/>
    <w:rsid w:val="0048632C"/>
    <w:rsid w:val="0048645D"/>
    <w:rsid w:val="004869E6"/>
    <w:rsid w:val="00491770"/>
    <w:rsid w:val="0049199B"/>
    <w:rsid w:val="00491EAD"/>
    <w:rsid w:val="0049229B"/>
    <w:rsid w:val="00492E8E"/>
    <w:rsid w:val="00494871"/>
    <w:rsid w:val="00494A66"/>
    <w:rsid w:val="004958A3"/>
    <w:rsid w:val="00495BAA"/>
    <w:rsid w:val="00495BAE"/>
    <w:rsid w:val="00495D36"/>
    <w:rsid w:val="00496040"/>
    <w:rsid w:val="004963D1"/>
    <w:rsid w:val="00496527"/>
    <w:rsid w:val="0049685E"/>
    <w:rsid w:val="00496A41"/>
    <w:rsid w:val="00496DB9"/>
    <w:rsid w:val="00497BE5"/>
    <w:rsid w:val="004A05EF"/>
    <w:rsid w:val="004A094A"/>
    <w:rsid w:val="004A0DA1"/>
    <w:rsid w:val="004A17A6"/>
    <w:rsid w:val="004A1910"/>
    <w:rsid w:val="004A1B1C"/>
    <w:rsid w:val="004A1C56"/>
    <w:rsid w:val="004A22E8"/>
    <w:rsid w:val="004A234F"/>
    <w:rsid w:val="004A2FBE"/>
    <w:rsid w:val="004A392E"/>
    <w:rsid w:val="004A3AD3"/>
    <w:rsid w:val="004A3D6B"/>
    <w:rsid w:val="004A48A3"/>
    <w:rsid w:val="004A49E1"/>
    <w:rsid w:val="004A5DA8"/>
    <w:rsid w:val="004A7BC4"/>
    <w:rsid w:val="004B0229"/>
    <w:rsid w:val="004B25DD"/>
    <w:rsid w:val="004B26C7"/>
    <w:rsid w:val="004B29E4"/>
    <w:rsid w:val="004B2ED9"/>
    <w:rsid w:val="004B4E0D"/>
    <w:rsid w:val="004B4EDF"/>
    <w:rsid w:val="004B60FB"/>
    <w:rsid w:val="004B7118"/>
    <w:rsid w:val="004C03FB"/>
    <w:rsid w:val="004C06D8"/>
    <w:rsid w:val="004C07B0"/>
    <w:rsid w:val="004C120D"/>
    <w:rsid w:val="004C1D67"/>
    <w:rsid w:val="004C1DBC"/>
    <w:rsid w:val="004C2005"/>
    <w:rsid w:val="004C2014"/>
    <w:rsid w:val="004C2BE2"/>
    <w:rsid w:val="004C2C2E"/>
    <w:rsid w:val="004C3530"/>
    <w:rsid w:val="004C3BC6"/>
    <w:rsid w:val="004C419A"/>
    <w:rsid w:val="004C4665"/>
    <w:rsid w:val="004C5502"/>
    <w:rsid w:val="004C5B7C"/>
    <w:rsid w:val="004C5FFC"/>
    <w:rsid w:val="004C69E2"/>
    <w:rsid w:val="004C72AF"/>
    <w:rsid w:val="004C76D0"/>
    <w:rsid w:val="004C770F"/>
    <w:rsid w:val="004C7720"/>
    <w:rsid w:val="004C7B0A"/>
    <w:rsid w:val="004C7FA3"/>
    <w:rsid w:val="004D0099"/>
    <w:rsid w:val="004D01B8"/>
    <w:rsid w:val="004D0237"/>
    <w:rsid w:val="004D1671"/>
    <w:rsid w:val="004D1C76"/>
    <w:rsid w:val="004D2960"/>
    <w:rsid w:val="004D2FB1"/>
    <w:rsid w:val="004D403E"/>
    <w:rsid w:val="004D468D"/>
    <w:rsid w:val="004D662E"/>
    <w:rsid w:val="004D6689"/>
    <w:rsid w:val="004D7177"/>
    <w:rsid w:val="004D7543"/>
    <w:rsid w:val="004D7C42"/>
    <w:rsid w:val="004D7DAA"/>
    <w:rsid w:val="004E06B9"/>
    <w:rsid w:val="004E1181"/>
    <w:rsid w:val="004E1CA6"/>
    <w:rsid w:val="004E2E34"/>
    <w:rsid w:val="004E348B"/>
    <w:rsid w:val="004E3C9E"/>
    <w:rsid w:val="004E41F1"/>
    <w:rsid w:val="004E5914"/>
    <w:rsid w:val="004E5FF1"/>
    <w:rsid w:val="004E6074"/>
    <w:rsid w:val="004E63FF"/>
    <w:rsid w:val="004E6AC5"/>
    <w:rsid w:val="004E72B4"/>
    <w:rsid w:val="004E74C1"/>
    <w:rsid w:val="004E7B71"/>
    <w:rsid w:val="004F14C0"/>
    <w:rsid w:val="004F16B4"/>
    <w:rsid w:val="004F1704"/>
    <w:rsid w:val="004F1A1A"/>
    <w:rsid w:val="004F244C"/>
    <w:rsid w:val="004F3688"/>
    <w:rsid w:val="004F379A"/>
    <w:rsid w:val="004F3E7B"/>
    <w:rsid w:val="004F3EFA"/>
    <w:rsid w:val="004F62BC"/>
    <w:rsid w:val="004F65E3"/>
    <w:rsid w:val="005002A7"/>
    <w:rsid w:val="00500330"/>
    <w:rsid w:val="005014A4"/>
    <w:rsid w:val="00501905"/>
    <w:rsid w:val="00501FB2"/>
    <w:rsid w:val="0050252D"/>
    <w:rsid w:val="00502AA1"/>
    <w:rsid w:val="00503AC0"/>
    <w:rsid w:val="00504DC3"/>
    <w:rsid w:val="005054EC"/>
    <w:rsid w:val="005063D0"/>
    <w:rsid w:val="0050697B"/>
    <w:rsid w:val="005069D7"/>
    <w:rsid w:val="00506C8C"/>
    <w:rsid w:val="00506D62"/>
    <w:rsid w:val="00507D5B"/>
    <w:rsid w:val="00507F4D"/>
    <w:rsid w:val="00512212"/>
    <w:rsid w:val="00513A2E"/>
    <w:rsid w:val="00514C65"/>
    <w:rsid w:val="00514CB6"/>
    <w:rsid w:val="00516AC8"/>
    <w:rsid w:val="00517BED"/>
    <w:rsid w:val="00521294"/>
    <w:rsid w:val="00521312"/>
    <w:rsid w:val="00521461"/>
    <w:rsid w:val="0052225A"/>
    <w:rsid w:val="00522E25"/>
    <w:rsid w:val="005231BA"/>
    <w:rsid w:val="00523894"/>
    <w:rsid w:val="00526344"/>
    <w:rsid w:val="0052748E"/>
    <w:rsid w:val="005278D5"/>
    <w:rsid w:val="00527FDA"/>
    <w:rsid w:val="0053051D"/>
    <w:rsid w:val="00530774"/>
    <w:rsid w:val="00530F9D"/>
    <w:rsid w:val="00531552"/>
    <w:rsid w:val="0053165A"/>
    <w:rsid w:val="005329EC"/>
    <w:rsid w:val="00533710"/>
    <w:rsid w:val="005340AD"/>
    <w:rsid w:val="00534369"/>
    <w:rsid w:val="00534783"/>
    <w:rsid w:val="00535CFD"/>
    <w:rsid w:val="005367F7"/>
    <w:rsid w:val="0054000F"/>
    <w:rsid w:val="00541A0A"/>
    <w:rsid w:val="0054205B"/>
    <w:rsid w:val="005428D6"/>
    <w:rsid w:val="005439B4"/>
    <w:rsid w:val="00543A4A"/>
    <w:rsid w:val="00543B05"/>
    <w:rsid w:val="00544285"/>
    <w:rsid w:val="0054475E"/>
    <w:rsid w:val="00544ADC"/>
    <w:rsid w:val="00544C9B"/>
    <w:rsid w:val="005452D6"/>
    <w:rsid w:val="00545445"/>
    <w:rsid w:val="005454D2"/>
    <w:rsid w:val="00545D18"/>
    <w:rsid w:val="00545EF6"/>
    <w:rsid w:val="00546ECA"/>
    <w:rsid w:val="005508BE"/>
    <w:rsid w:val="005511E5"/>
    <w:rsid w:val="00551F19"/>
    <w:rsid w:val="00552300"/>
    <w:rsid w:val="005526AC"/>
    <w:rsid w:val="00552DD1"/>
    <w:rsid w:val="00552F2D"/>
    <w:rsid w:val="00553036"/>
    <w:rsid w:val="00553285"/>
    <w:rsid w:val="00553E7F"/>
    <w:rsid w:val="00553F7F"/>
    <w:rsid w:val="00555070"/>
    <w:rsid w:val="00556009"/>
    <w:rsid w:val="00557283"/>
    <w:rsid w:val="00557B57"/>
    <w:rsid w:val="00560032"/>
    <w:rsid w:val="005617BA"/>
    <w:rsid w:val="00561B49"/>
    <w:rsid w:val="00562430"/>
    <w:rsid w:val="00562B0E"/>
    <w:rsid w:val="00563A59"/>
    <w:rsid w:val="005654EE"/>
    <w:rsid w:val="00566F1D"/>
    <w:rsid w:val="00567D85"/>
    <w:rsid w:val="00570944"/>
    <w:rsid w:val="00574F08"/>
    <w:rsid w:val="00575F32"/>
    <w:rsid w:val="00576814"/>
    <w:rsid w:val="00576DBE"/>
    <w:rsid w:val="005779A6"/>
    <w:rsid w:val="00577A19"/>
    <w:rsid w:val="0058017D"/>
    <w:rsid w:val="00580746"/>
    <w:rsid w:val="005825D0"/>
    <w:rsid w:val="00585598"/>
    <w:rsid w:val="00586AA7"/>
    <w:rsid w:val="00586F3E"/>
    <w:rsid w:val="0058705E"/>
    <w:rsid w:val="00590D33"/>
    <w:rsid w:val="00591163"/>
    <w:rsid w:val="005914B7"/>
    <w:rsid w:val="005920D8"/>
    <w:rsid w:val="00594857"/>
    <w:rsid w:val="00594ADC"/>
    <w:rsid w:val="00594D70"/>
    <w:rsid w:val="00595319"/>
    <w:rsid w:val="0059572C"/>
    <w:rsid w:val="00595A02"/>
    <w:rsid w:val="00595DD8"/>
    <w:rsid w:val="00597A66"/>
    <w:rsid w:val="00597CCD"/>
    <w:rsid w:val="005A033D"/>
    <w:rsid w:val="005A05AA"/>
    <w:rsid w:val="005A092F"/>
    <w:rsid w:val="005A0AA6"/>
    <w:rsid w:val="005A0ECB"/>
    <w:rsid w:val="005A231B"/>
    <w:rsid w:val="005A2707"/>
    <w:rsid w:val="005A3074"/>
    <w:rsid w:val="005A46F1"/>
    <w:rsid w:val="005A4B26"/>
    <w:rsid w:val="005A5014"/>
    <w:rsid w:val="005B07EF"/>
    <w:rsid w:val="005B09A3"/>
    <w:rsid w:val="005B0B6F"/>
    <w:rsid w:val="005B1A0C"/>
    <w:rsid w:val="005B28EA"/>
    <w:rsid w:val="005B2DC3"/>
    <w:rsid w:val="005B2EA2"/>
    <w:rsid w:val="005B3049"/>
    <w:rsid w:val="005B30EA"/>
    <w:rsid w:val="005B3542"/>
    <w:rsid w:val="005B472F"/>
    <w:rsid w:val="005B4D51"/>
    <w:rsid w:val="005B508D"/>
    <w:rsid w:val="005B50AA"/>
    <w:rsid w:val="005B5317"/>
    <w:rsid w:val="005B6321"/>
    <w:rsid w:val="005B6F0D"/>
    <w:rsid w:val="005C0437"/>
    <w:rsid w:val="005C08C9"/>
    <w:rsid w:val="005C1B26"/>
    <w:rsid w:val="005C3D9A"/>
    <w:rsid w:val="005C3E4A"/>
    <w:rsid w:val="005C3EE4"/>
    <w:rsid w:val="005C55A4"/>
    <w:rsid w:val="005C5C17"/>
    <w:rsid w:val="005C68CA"/>
    <w:rsid w:val="005C726B"/>
    <w:rsid w:val="005C7F1D"/>
    <w:rsid w:val="005D3E97"/>
    <w:rsid w:val="005D5379"/>
    <w:rsid w:val="005D561B"/>
    <w:rsid w:val="005D5F91"/>
    <w:rsid w:val="005D6B2C"/>
    <w:rsid w:val="005D776A"/>
    <w:rsid w:val="005D77F1"/>
    <w:rsid w:val="005D7C90"/>
    <w:rsid w:val="005D7D7D"/>
    <w:rsid w:val="005E0DA8"/>
    <w:rsid w:val="005E1110"/>
    <w:rsid w:val="005E178E"/>
    <w:rsid w:val="005E240D"/>
    <w:rsid w:val="005E2883"/>
    <w:rsid w:val="005E28EA"/>
    <w:rsid w:val="005E318A"/>
    <w:rsid w:val="005E3911"/>
    <w:rsid w:val="005E397F"/>
    <w:rsid w:val="005E3A1E"/>
    <w:rsid w:val="005E47DC"/>
    <w:rsid w:val="005E521D"/>
    <w:rsid w:val="005E5A5B"/>
    <w:rsid w:val="005E6CDB"/>
    <w:rsid w:val="005E6F32"/>
    <w:rsid w:val="005E715D"/>
    <w:rsid w:val="005F02C2"/>
    <w:rsid w:val="005F1881"/>
    <w:rsid w:val="005F1B08"/>
    <w:rsid w:val="005F2217"/>
    <w:rsid w:val="005F28CE"/>
    <w:rsid w:val="005F3FCB"/>
    <w:rsid w:val="005F52CD"/>
    <w:rsid w:val="005F5499"/>
    <w:rsid w:val="00600B3B"/>
    <w:rsid w:val="006026EA"/>
    <w:rsid w:val="006028AB"/>
    <w:rsid w:val="00602F5A"/>
    <w:rsid w:val="006033E8"/>
    <w:rsid w:val="00604765"/>
    <w:rsid w:val="006048A4"/>
    <w:rsid w:val="00604D1B"/>
    <w:rsid w:val="00605322"/>
    <w:rsid w:val="00605A45"/>
    <w:rsid w:val="00605C26"/>
    <w:rsid w:val="0060626B"/>
    <w:rsid w:val="00612B88"/>
    <w:rsid w:val="00612BCF"/>
    <w:rsid w:val="00613926"/>
    <w:rsid w:val="00613B55"/>
    <w:rsid w:val="00613C83"/>
    <w:rsid w:val="00613E5A"/>
    <w:rsid w:val="00614BF3"/>
    <w:rsid w:val="00615186"/>
    <w:rsid w:val="0061580E"/>
    <w:rsid w:val="00615EA1"/>
    <w:rsid w:val="00616FC0"/>
    <w:rsid w:val="006172EE"/>
    <w:rsid w:val="006200D1"/>
    <w:rsid w:val="00620BF1"/>
    <w:rsid w:val="00622236"/>
    <w:rsid w:val="00622EF9"/>
    <w:rsid w:val="00623B35"/>
    <w:rsid w:val="00623F02"/>
    <w:rsid w:val="00624860"/>
    <w:rsid w:val="00624BA2"/>
    <w:rsid w:val="00624F03"/>
    <w:rsid w:val="00626929"/>
    <w:rsid w:val="006272CE"/>
    <w:rsid w:val="006276E4"/>
    <w:rsid w:val="00630580"/>
    <w:rsid w:val="00630B07"/>
    <w:rsid w:val="00631514"/>
    <w:rsid w:val="00631780"/>
    <w:rsid w:val="0063257D"/>
    <w:rsid w:val="00632FB4"/>
    <w:rsid w:val="006338B4"/>
    <w:rsid w:val="0063416E"/>
    <w:rsid w:val="00635A80"/>
    <w:rsid w:val="00635C4F"/>
    <w:rsid w:val="0063752B"/>
    <w:rsid w:val="006379B0"/>
    <w:rsid w:val="00637CA1"/>
    <w:rsid w:val="00640038"/>
    <w:rsid w:val="00641DEA"/>
    <w:rsid w:val="00642A8C"/>
    <w:rsid w:val="006432BC"/>
    <w:rsid w:val="006432D7"/>
    <w:rsid w:val="006434A4"/>
    <w:rsid w:val="006440E5"/>
    <w:rsid w:val="006445FD"/>
    <w:rsid w:val="0064603C"/>
    <w:rsid w:val="00646D5E"/>
    <w:rsid w:val="0064797F"/>
    <w:rsid w:val="006510F2"/>
    <w:rsid w:val="0065111B"/>
    <w:rsid w:val="006513CD"/>
    <w:rsid w:val="00651B57"/>
    <w:rsid w:val="00651F12"/>
    <w:rsid w:val="00652142"/>
    <w:rsid w:val="0065290A"/>
    <w:rsid w:val="00652CBD"/>
    <w:rsid w:val="006538E3"/>
    <w:rsid w:val="00654716"/>
    <w:rsid w:val="00656263"/>
    <w:rsid w:val="0065763A"/>
    <w:rsid w:val="00660B1E"/>
    <w:rsid w:val="00661351"/>
    <w:rsid w:val="006613A8"/>
    <w:rsid w:val="006615DD"/>
    <w:rsid w:val="00661645"/>
    <w:rsid w:val="00661658"/>
    <w:rsid w:val="006617DB"/>
    <w:rsid w:val="006633C8"/>
    <w:rsid w:val="006657F3"/>
    <w:rsid w:val="00665A7A"/>
    <w:rsid w:val="00665DAC"/>
    <w:rsid w:val="00666387"/>
    <w:rsid w:val="00667753"/>
    <w:rsid w:val="00667A75"/>
    <w:rsid w:val="00670142"/>
    <w:rsid w:val="00671A8F"/>
    <w:rsid w:val="00671F3B"/>
    <w:rsid w:val="00672387"/>
    <w:rsid w:val="006729B5"/>
    <w:rsid w:val="00672CDF"/>
    <w:rsid w:val="00673E45"/>
    <w:rsid w:val="00674641"/>
    <w:rsid w:val="006746FA"/>
    <w:rsid w:val="00674A1C"/>
    <w:rsid w:val="00674AC2"/>
    <w:rsid w:val="0067694D"/>
    <w:rsid w:val="00677475"/>
    <w:rsid w:val="00677D4E"/>
    <w:rsid w:val="0068011C"/>
    <w:rsid w:val="00680777"/>
    <w:rsid w:val="00680FB7"/>
    <w:rsid w:val="00681093"/>
    <w:rsid w:val="0068175A"/>
    <w:rsid w:val="00681A8C"/>
    <w:rsid w:val="00682E97"/>
    <w:rsid w:val="0068312E"/>
    <w:rsid w:val="006836CC"/>
    <w:rsid w:val="00684E65"/>
    <w:rsid w:val="006860C2"/>
    <w:rsid w:val="00687E63"/>
    <w:rsid w:val="00690423"/>
    <w:rsid w:val="006905A1"/>
    <w:rsid w:val="006907AD"/>
    <w:rsid w:val="00690D4C"/>
    <w:rsid w:val="0069138C"/>
    <w:rsid w:val="00691942"/>
    <w:rsid w:val="00692375"/>
    <w:rsid w:val="00692A1D"/>
    <w:rsid w:val="00692BB2"/>
    <w:rsid w:val="00693B4D"/>
    <w:rsid w:val="00694084"/>
    <w:rsid w:val="00695619"/>
    <w:rsid w:val="00696672"/>
    <w:rsid w:val="00696D95"/>
    <w:rsid w:val="0069730B"/>
    <w:rsid w:val="0069784C"/>
    <w:rsid w:val="006A04D7"/>
    <w:rsid w:val="006A0AA6"/>
    <w:rsid w:val="006A0F67"/>
    <w:rsid w:val="006A3168"/>
    <w:rsid w:val="006A3E04"/>
    <w:rsid w:val="006A3ED7"/>
    <w:rsid w:val="006A473A"/>
    <w:rsid w:val="006A4DC8"/>
    <w:rsid w:val="006A4EFE"/>
    <w:rsid w:val="006A51A7"/>
    <w:rsid w:val="006A5D36"/>
    <w:rsid w:val="006A6193"/>
    <w:rsid w:val="006A6F1C"/>
    <w:rsid w:val="006A751E"/>
    <w:rsid w:val="006A7770"/>
    <w:rsid w:val="006B165F"/>
    <w:rsid w:val="006B2203"/>
    <w:rsid w:val="006B2C1C"/>
    <w:rsid w:val="006B3196"/>
    <w:rsid w:val="006B31B3"/>
    <w:rsid w:val="006B37A8"/>
    <w:rsid w:val="006B5187"/>
    <w:rsid w:val="006B6849"/>
    <w:rsid w:val="006B69F3"/>
    <w:rsid w:val="006B6D8C"/>
    <w:rsid w:val="006B7365"/>
    <w:rsid w:val="006B77D2"/>
    <w:rsid w:val="006B79E0"/>
    <w:rsid w:val="006B7A6E"/>
    <w:rsid w:val="006B7CDA"/>
    <w:rsid w:val="006C079F"/>
    <w:rsid w:val="006C0DDA"/>
    <w:rsid w:val="006C10E1"/>
    <w:rsid w:val="006C14F7"/>
    <w:rsid w:val="006C1BB5"/>
    <w:rsid w:val="006C1C6E"/>
    <w:rsid w:val="006C2C24"/>
    <w:rsid w:val="006C2F22"/>
    <w:rsid w:val="006C31CA"/>
    <w:rsid w:val="006C3A96"/>
    <w:rsid w:val="006C3AEB"/>
    <w:rsid w:val="006C3F32"/>
    <w:rsid w:val="006C4A3D"/>
    <w:rsid w:val="006C4CAB"/>
    <w:rsid w:val="006C50FC"/>
    <w:rsid w:val="006C6502"/>
    <w:rsid w:val="006C66F0"/>
    <w:rsid w:val="006C731A"/>
    <w:rsid w:val="006D0DF3"/>
    <w:rsid w:val="006D37A4"/>
    <w:rsid w:val="006D53EE"/>
    <w:rsid w:val="006D5696"/>
    <w:rsid w:val="006D59FF"/>
    <w:rsid w:val="006D6158"/>
    <w:rsid w:val="006D6629"/>
    <w:rsid w:val="006D76E8"/>
    <w:rsid w:val="006E0304"/>
    <w:rsid w:val="006E06BA"/>
    <w:rsid w:val="006E0D7F"/>
    <w:rsid w:val="006E11DB"/>
    <w:rsid w:val="006E2BE6"/>
    <w:rsid w:val="006E2EA7"/>
    <w:rsid w:val="006E3063"/>
    <w:rsid w:val="006E3DA4"/>
    <w:rsid w:val="006E44B9"/>
    <w:rsid w:val="006E47F4"/>
    <w:rsid w:val="006E536F"/>
    <w:rsid w:val="006E5BC2"/>
    <w:rsid w:val="006E6D4B"/>
    <w:rsid w:val="006E70F4"/>
    <w:rsid w:val="006E7EDC"/>
    <w:rsid w:val="006F0C26"/>
    <w:rsid w:val="006F0C77"/>
    <w:rsid w:val="006F20A9"/>
    <w:rsid w:val="006F25B6"/>
    <w:rsid w:val="006F2B01"/>
    <w:rsid w:val="006F2C1B"/>
    <w:rsid w:val="006F2E44"/>
    <w:rsid w:val="006F3117"/>
    <w:rsid w:val="006F3212"/>
    <w:rsid w:val="006F3331"/>
    <w:rsid w:val="006F3404"/>
    <w:rsid w:val="006F3E1A"/>
    <w:rsid w:val="006F488D"/>
    <w:rsid w:val="006F4B3D"/>
    <w:rsid w:val="006F4E8E"/>
    <w:rsid w:val="006F5A18"/>
    <w:rsid w:val="006F6CB7"/>
    <w:rsid w:val="006F73C1"/>
    <w:rsid w:val="006F7748"/>
    <w:rsid w:val="007007AE"/>
    <w:rsid w:val="00700AED"/>
    <w:rsid w:val="0070172A"/>
    <w:rsid w:val="007029DF"/>
    <w:rsid w:val="007036BF"/>
    <w:rsid w:val="00704B10"/>
    <w:rsid w:val="0070544C"/>
    <w:rsid w:val="00706374"/>
    <w:rsid w:val="0070717C"/>
    <w:rsid w:val="00707A62"/>
    <w:rsid w:val="00707FEA"/>
    <w:rsid w:val="00711AAD"/>
    <w:rsid w:val="0071282C"/>
    <w:rsid w:val="00713A85"/>
    <w:rsid w:val="00714662"/>
    <w:rsid w:val="00714A6C"/>
    <w:rsid w:val="00714FBA"/>
    <w:rsid w:val="007161D6"/>
    <w:rsid w:val="007163B6"/>
    <w:rsid w:val="00717DE2"/>
    <w:rsid w:val="0072050B"/>
    <w:rsid w:val="00720512"/>
    <w:rsid w:val="00720932"/>
    <w:rsid w:val="0072164D"/>
    <w:rsid w:val="00721AC8"/>
    <w:rsid w:val="0072267A"/>
    <w:rsid w:val="00722CF5"/>
    <w:rsid w:val="00722DA9"/>
    <w:rsid w:val="00722E48"/>
    <w:rsid w:val="00723246"/>
    <w:rsid w:val="00723BF4"/>
    <w:rsid w:val="00724890"/>
    <w:rsid w:val="007249F5"/>
    <w:rsid w:val="00724CC8"/>
    <w:rsid w:val="007250CD"/>
    <w:rsid w:val="0072520C"/>
    <w:rsid w:val="007252DE"/>
    <w:rsid w:val="00725415"/>
    <w:rsid w:val="0072573B"/>
    <w:rsid w:val="0072574F"/>
    <w:rsid w:val="0072667D"/>
    <w:rsid w:val="00726730"/>
    <w:rsid w:val="00730AA8"/>
    <w:rsid w:val="007310AC"/>
    <w:rsid w:val="007322C9"/>
    <w:rsid w:val="00732507"/>
    <w:rsid w:val="00734631"/>
    <w:rsid w:val="007404EA"/>
    <w:rsid w:val="007410A5"/>
    <w:rsid w:val="007411C8"/>
    <w:rsid w:val="007417BD"/>
    <w:rsid w:val="00741883"/>
    <w:rsid w:val="00743889"/>
    <w:rsid w:val="00743DE4"/>
    <w:rsid w:val="0074475A"/>
    <w:rsid w:val="0074546E"/>
    <w:rsid w:val="00745C09"/>
    <w:rsid w:val="00745D61"/>
    <w:rsid w:val="007461E5"/>
    <w:rsid w:val="007464F3"/>
    <w:rsid w:val="0074721F"/>
    <w:rsid w:val="007500E2"/>
    <w:rsid w:val="007504E3"/>
    <w:rsid w:val="0075087B"/>
    <w:rsid w:val="0075128B"/>
    <w:rsid w:val="00752427"/>
    <w:rsid w:val="00752593"/>
    <w:rsid w:val="00752707"/>
    <w:rsid w:val="0075294A"/>
    <w:rsid w:val="00753353"/>
    <w:rsid w:val="00753732"/>
    <w:rsid w:val="00753818"/>
    <w:rsid w:val="00753CE1"/>
    <w:rsid w:val="00753EA7"/>
    <w:rsid w:val="00754060"/>
    <w:rsid w:val="00755DAB"/>
    <w:rsid w:val="007561F0"/>
    <w:rsid w:val="00757618"/>
    <w:rsid w:val="00760716"/>
    <w:rsid w:val="007618E2"/>
    <w:rsid w:val="00761D4D"/>
    <w:rsid w:val="00762B41"/>
    <w:rsid w:val="00762D22"/>
    <w:rsid w:val="007632F3"/>
    <w:rsid w:val="007647B2"/>
    <w:rsid w:val="00764DC6"/>
    <w:rsid w:val="0076537B"/>
    <w:rsid w:val="00765EBE"/>
    <w:rsid w:val="007662CB"/>
    <w:rsid w:val="00766596"/>
    <w:rsid w:val="00766DB2"/>
    <w:rsid w:val="00767520"/>
    <w:rsid w:val="00767D3B"/>
    <w:rsid w:val="00771245"/>
    <w:rsid w:val="00771FA4"/>
    <w:rsid w:val="0077250E"/>
    <w:rsid w:val="00772FFE"/>
    <w:rsid w:val="007730B7"/>
    <w:rsid w:val="0077401F"/>
    <w:rsid w:val="007745B9"/>
    <w:rsid w:val="00774974"/>
    <w:rsid w:val="0077568A"/>
    <w:rsid w:val="00775E20"/>
    <w:rsid w:val="00776A5C"/>
    <w:rsid w:val="007771E9"/>
    <w:rsid w:val="007775DB"/>
    <w:rsid w:val="00777BE0"/>
    <w:rsid w:val="00777F75"/>
    <w:rsid w:val="0078021B"/>
    <w:rsid w:val="0078070C"/>
    <w:rsid w:val="0078139C"/>
    <w:rsid w:val="00782AF9"/>
    <w:rsid w:val="00782E52"/>
    <w:rsid w:val="00784A93"/>
    <w:rsid w:val="00784CE6"/>
    <w:rsid w:val="00784F20"/>
    <w:rsid w:val="007855EC"/>
    <w:rsid w:val="007866AA"/>
    <w:rsid w:val="00786EDB"/>
    <w:rsid w:val="00790932"/>
    <w:rsid w:val="00791169"/>
    <w:rsid w:val="0079117A"/>
    <w:rsid w:val="007916D9"/>
    <w:rsid w:val="0079248E"/>
    <w:rsid w:val="007928F4"/>
    <w:rsid w:val="00793491"/>
    <w:rsid w:val="00794D68"/>
    <w:rsid w:val="00794E88"/>
    <w:rsid w:val="00794F17"/>
    <w:rsid w:val="00795C58"/>
    <w:rsid w:val="00795DAE"/>
    <w:rsid w:val="00796375"/>
    <w:rsid w:val="00796C55"/>
    <w:rsid w:val="00797899"/>
    <w:rsid w:val="00797B3B"/>
    <w:rsid w:val="00797C99"/>
    <w:rsid w:val="007A05F3"/>
    <w:rsid w:val="007A07D4"/>
    <w:rsid w:val="007A1B56"/>
    <w:rsid w:val="007A2D71"/>
    <w:rsid w:val="007A4B3E"/>
    <w:rsid w:val="007A4CCA"/>
    <w:rsid w:val="007A4CFE"/>
    <w:rsid w:val="007A4D94"/>
    <w:rsid w:val="007A5359"/>
    <w:rsid w:val="007A563A"/>
    <w:rsid w:val="007A5760"/>
    <w:rsid w:val="007A62E0"/>
    <w:rsid w:val="007B00C8"/>
    <w:rsid w:val="007B084E"/>
    <w:rsid w:val="007B09D8"/>
    <w:rsid w:val="007B1C9B"/>
    <w:rsid w:val="007B1CC6"/>
    <w:rsid w:val="007B26BC"/>
    <w:rsid w:val="007B2724"/>
    <w:rsid w:val="007B2E36"/>
    <w:rsid w:val="007B4CEC"/>
    <w:rsid w:val="007B5372"/>
    <w:rsid w:val="007B6162"/>
    <w:rsid w:val="007B676D"/>
    <w:rsid w:val="007B72F2"/>
    <w:rsid w:val="007C068C"/>
    <w:rsid w:val="007C0C3D"/>
    <w:rsid w:val="007C1056"/>
    <w:rsid w:val="007C16D3"/>
    <w:rsid w:val="007C2139"/>
    <w:rsid w:val="007C2250"/>
    <w:rsid w:val="007C233D"/>
    <w:rsid w:val="007C23FF"/>
    <w:rsid w:val="007C243B"/>
    <w:rsid w:val="007C3D3B"/>
    <w:rsid w:val="007C50F1"/>
    <w:rsid w:val="007C51C7"/>
    <w:rsid w:val="007C52C5"/>
    <w:rsid w:val="007C6062"/>
    <w:rsid w:val="007C6304"/>
    <w:rsid w:val="007C661D"/>
    <w:rsid w:val="007C73D8"/>
    <w:rsid w:val="007C7619"/>
    <w:rsid w:val="007C7D92"/>
    <w:rsid w:val="007C7FCD"/>
    <w:rsid w:val="007D08E0"/>
    <w:rsid w:val="007D169F"/>
    <w:rsid w:val="007D2734"/>
    <w:rsid w:val="007D2D36"/>
    <w:rsid w:val="007D390E"/>
    <w:rsid w:val="007D3B6E"/>
    <w:rsid w:val="007D4F63"/>
    <w:rsid w:val="007D56AF"/>
    <w:rsid w:val="007D664B"/>
    <w:rsid w:val="007D6F32"/>
    <w:rsid w:val="007E0A31"/>
    <w:rsid w:val="007E0B12"/>
    <w:rsid w:val="007E1438"/>
    <w:rsid w:val="007E148B"/>
    <w:rsid w:val="007E1642"/>
    <w:rsid w:val="007E1792"/>
    <w:rsid w:val="007E200E"/>
    <w:rsid w:val="007E2339"/>
    <w:rsid w:val="007E348D"/>
    <w:rsid w:val="007E447C"/>
    <w:rsid w:val="007E4647"/>
    <w:rsid w:val="007E6293"/>
    <w:rsid w:val="007E7640"/>
    <w:rsid w:val="007E7A41"/>
    <w:rsid w:val="007E7BBD"/>
    <w:rsid w:val="007F0502"/>
    <w:rsid w:val="007F05E9"/>
    <w:rsid w:val="007F1A12"/>
    <w:rsid w:val="007F2171"/>
    <w:rsid w:val="007F296A"/>
    <w:rsid w:val="007F3470"/>
    <w:rsid w:val="007F5258"/>
    <w:rsid w:val="007F7D77"/>
    <w:rsid w:val="0080063C"/>
    <w:rsid w:val="0080171E"/>
    <w:rsid w:val="00801BC3"/>
    <w:rsid w:val="0080201B"/>
    <w:rsid w:val="00802220"/>
    <w:rsid w:val="00802838"/>
    <w:rsid w:val="00802ACE"/>
    <w:rsid w:val="00802DF7"/>
    <w:rsid w:val="00803660"/>
    <w:rsid w:val="00803808"/>
    <w:rsid w:val="00803A89"/>
    <w:rsid w:val="00804CF6"/>
    <w:rsid w:val="00805766"/>
    <w:rsid w:val="00806405"/>
    <w:rsid w:val="00806F5A"/>
    <w:rsid w:val="00807335"/>
    <w:rsid w:val="00810823"/>
    <w:rsid w:val="008108EB"/>
    <w:rsid w:val="00811011"/>
    <w:rsid w:val="0081114E"/>
    <w:rsid w:val="00812292"/>
    <w:rsid w:val="00812906"/>
    <w:rsid w:val="00812A27"/>
    <w:rsid w:val="00814171"/>
    <w:rsid w:val="008150F7"/>
    <w:rsid w:val="00815C1B"/>
    <w:rsid w:val="00815CA6"/>
    <w:rsid w:val="0081760B"/>
    <w:rsid w:val="00817D19"/>
    <w:rsid w:val="00820AB6"/>
    <w:rsid w:val="0082137C"/>
    <w:rsid w:val="008217A8"/>
    <w:rsid w:val="00823053"/>
    <w:rsid w:val="008232D6"/>
    <w:rsid w:val="008233CC"/>
    <w:rsid w:val="00823A69"/>
    <w:rsid w:val="00826385"/>
    <w:rsid w:val="008272E4"/>
    <w:rsid w:val="008272FF"/>
    <w:rsid w:val="00830241"/>
    <w:rsid w:val="00831F4E"/>
    <w:rsid w:val="00831F9E"/>
    <w:rsid w:val="00832F22"/>
    <w:rsid w:val="008333F9"/>
    <w:rsid w:val="0083374B"/>
    <w:rsid w:val="00833F26"/>
    <w:rsid w:val="008344CA"/>
    <w:rsid w:val="00834A2B"/>
    <w:rsid w:val="00834E6E"/>
    <w:rsid w:val="00835ED8"/>
    <w:rsid w:val="008365BC"/>
    <w:rsid w:val="00836B0D"/>
    <w:rsid w:val="00837065"/>
    <w:rsid w:val="00837283"/>
    <w:rsid w:val="00837E2E"/>
    <w:rsid w:val="008419A1"/>
    <w:rsid w:val="0084228C"/>
    <w:rsid w:val="00842C00"/>
    <w:rsid w:val="00842EA4"/>
    <w:rsid w:val="0084312B"/>
    <w:rsid w:val="00844FA9"/>
    <w:rsid w:val="0084541A"/>
    <w:rsid w:val="008456D8"/>
    <w:rsid w:val="00845D2B"/>
    <w:rsid w:val="0084633F"/>
    <w:rsid w:val="00846B0A"/>
    <w:rsid w:val="00847A1F"/>
    <w:rsid w:val="008504CF"/>
    <w:rsid w:val="0085061A"/>
    <w:rsid w:val="008509C5"/>
    <w:rsid w:val="00850AF9"/>
    <w:rsid w:val="0085138C"/>
    <w:rsid w:val="00853279"/>
    <w:rsid w:val="00854AB5"/>
    <w:rsid w:val="00854E99"/>
    <w:rsid w:val="00855A06"/>
    <w:rsid w:val="00855B87"/>
    <w:rsid w:val="00855DDF"/>
    <w:rsid w:val="008561B0"/>
    <w:rsid w:val="008568AE"/>
    <w:rsid w:val="008572D9"/>
    <w:rsid w:val="0085749A"/>
    <w:rsid w:val="008609FE"/>
    <w:rsid w:val="00860A13"/>
    <w:rsid w:val="00861BA5"/>
    <w:rsid w:val="008626D1"/>
    <w:rsid w:val="0086271B"/>
    <w:rsid w:val="00863B25"/>
    <w:rsid w:val="00863BF6"/>
    <w:rsid w:val="00864736"/>
    <w:rsid w:val="008647DA"/>
    <w:rsid w:val="00865604"/>
    <w:rsid w:val="00865D47"/>
    <w:rsid w:val="0086611B"/>
    <w:rsid w:val="008678C8"/>
    <w:rsid w:val="00867C83"/>
    <w:rsid w:val="00867C8B"/>
    <w:rsid w:val="00867D65"/>
    <w:rsid w:val="008700FF"/>
    <w:rsid w:val="0087014A"/>
    <w:rsid w:val="008707D7"/>
    <w:rsid w:val="00870E46"/>
    <w:rsid w:val="008726FD"/>
    <w:rsid w:val="00872D1F"/>
    <w:rsid w:val="008733FC"/>
    <w:rsid w:val="00873739"/>
    <w:rsid w:val="008746B6"/>
    <w:rsid w:val="00874C95"/>
    <w:rsid w:val="00875A0B"/>
    <w:rsid w:val="00875DB5"/>
    <w:rsid w:val="00876889"/>
    <w:rsid w:val="00876F91"/>
    <w:rsid w:val="008771CF"/>
    <w:rsid w:val="008775C4"/>
    <w:rsid w:val="00877C89"/>
    <w:rsid w:val="00877D5D"/>
    <w:rsid w:val="00880B2C"/>
    <w:rsid w:val="00883382"/>
    <w:rsid w:val="008835F3"/>
    <w:rsid w:val="0088590E"/>
    <w:rsid w:val="00886823"/>
    <w:rsid w:val="00886F88"/>
    <w:rsid w:val="008871D1"/>
    <w:rsid w:val="00890024"/>
    <w:rsid w:val="00890AA4"/>
    <w:rsid w:val="00891869"/>
    <w:rsid w:val="00891AF2"/>
    <w:rsid w:val="0089207C"/>
    <w:rsid w:val="00892554"/>
    <w:rsid w:val="00892671"/>
    <w:rsid w:val="0089306A"/>
    <w:rsid w:val="00893BC5"/>
    <w:rsid w:val="00893CC4"/>
    <w:rsid w:val="00894C84"/>
    <w:rsid w:val="00894D03"/>
    <w:rsid w:val="008955E8"/>
    <w:rsid w:val="008956DE"/>
    <w:rsid w:val="00895ADD"/>
    <w:rsid w:val="00895B39"/>
    <w:rsid w:val="0089669C"/>
    <w:rsid w:val="00897674"/>
    <w:rsid w:val="008A07CD"/>
    <w:rsid w:val="008A1A66"/>
    <w:rsid w:val="008A30AB"/>
    <w:rsid w:val="008A394B"/>
    <w:rsid w:val="008A3AD0"/>
    <w:rsid w:val="008A3ADB"/>
    <w:rsid w:val="008A539C"/>
    <w:rsid w:val="008A5C59"/>
    <w:rsid w:val="008A657C"/>
    <w:rsid w:val="008A7F3A"/>
    <w:rsid w:val="008B2AF9"/>
    <w:rsid w:val="008B2C7C"/>
    <w:rsid w:val="008B2D35"/>
    <w:rsid w:val="008B2EA1"/>
    <w:rsid w:val="008B32B4"/>
    <w:rsid w:val="008B3697"/>
    <w:rsid w:val="008B3AFB"/>
    <w:rsid w:val="008B4333"/>
    <w:rsid w:val="008B4D90"/>
    <w:rsid w:val="008B57F0"/>
    <w:rsid w:val="008B5BD8"/>
    <w:rsid w:val="008B5EA9"/>
    <w:rsid w:val="008B6389"/>
    <w:rsid w:val="008B6F9C"/>
    <w:rsid w:val="008C05EA"/>
    <w:rsid w:val="008C0BF4"/>
    <w:rsid w:val="008C0FCE"/>
    <w:rsid w:val="008C3B47"/>
    <w:rsid w:val="008C3CDE"/>
    <w:rsid w:val="008C3F47"/>
    <w:rsid w:val="008C4787"/>
    <w:rsid w:val="008C653F"/>
    <w:rsid w:val="008C6F1F"/>
    <w:rsid w:val="008D0F01"/>
    <w:rsid w:val="008D1DC4"/>
    <w:rsid w:val="008D243A"/>
    <w:rsid w:val="008D2AB0"/>
    <w:rsid w:val="008D376F"/>
    <w:rsid w:val="008D3B0C"/>
    <w:rsid w:val="008D4A82"/>
    <w:rsid w:val="008D4E53"/>
    <w:rsid w:val="008D66D4"/>
    <w:rsid w:val="008D6EFF"/>
    <w:rsid w:val="008E0CC7"/>
    <w:rsid w:val="008E191A"/>
    <w:rsid w:val="008E1D02"/>
    <w:rsid w:val="008E2956"/>
    <w:rsid w:val="008E29A1"/>
    <w:rsid w:val="008E2CE1"/>
    <w:rsid w:val="008E316F"/>
    <w:rsid w:val="008E3565"/>
    <w:rsid w:val="008E37F8"/>
    <w:rsid w:val="008E3CEF"/>
    <w:rsid w:val="008E4DE4"/>
    <w:rsid w:val="008E52C7"/>
    <w:rsid w:val="008E5791"/>
    <w:rsid w:val="008E5982"/>
    <w:rsid w:val="008E5EF3"/>
    <w:rsid w:val="008E5F25"/>
    <w:rsid w:val="008E623E"/>
    <w:rsid w:val="008E667D"/>
    <w:rsid w:val="008F0351"/>
    <w:rsid w:val="008F0D0E"/>
    <w:rsid w:val="008F1407"/>
    <w:rsid w:val="008F1C32"/>
    <w:rsid w:val="008F1FE8"/>
    <w:rsid w:val="008F3440"/>
    <w:rsid w:val="008F398A"/>
    <w:rsid w:val="008F3BD3"/>
    <w:rsid w:val="008F52C3"/>
    <w:rsid w:val="008F5A29"/>
    <w:rsid w:val="008F5CDD"/>
    <w:rsid w:val="008F60D8"/>
    <w:rsid w:val="008F680F"/>
    <w:rsid w:val="008F782F"/>
    <w:rsid w:val="0090066F"/>
    <w:rsid w:val="009017EB"/>
    <w:rsid w:val="009024F3"/>
    <w:rsid w:val="00902817"/>
    <w:rsid w:val="00902B58"/>
    <w:rsid w:val="00903742"/>
    <w:rsid w:val="00903B19"/>
    <w:rsid w:val="00903BC5"/>
    <w:rsid w:val="00904204"/>
    <w:rsid w:val="009046B7"/>
    <w:rsid w:val="00904791"/>
    <w:rsid w:val="00904A43"/>
    <w:rsid w:val="009051B4"/>
    <w:rsid w:val="00905BFB"/>
    <w:rsid w:val="009067F4"/>
    <w:rsid w:val="0090764D"/>
    <w:rsid w:val="00911172"/>
    <w:rsid w:val="009111EE"/>
    <w:rsid w:val="0091188B"/>
    <w:rsid w:val="00911AC8"/>
    <w:rsid w:val="00911B3F"/>
    <w:rsid w:val="00912237"/>
    <w:rsid w:val="0091232E"/>
    <w:rsid w:val="009139D9"/>
    <w:rsid w:val="00913E50"/>
    <w:rsid w:val="00914C8B"/>
    <w:rsid w:val="00914F8E"/>
    <w:rsid w:val="009151A4"/>
    <w:rsid w:val="009159B9"/>
    <w:rsid w:val="00915E36"/>
    <w:rsid w:val="009165F1"/>
    <w:rsid w:val="00917367"/>
    <w:rsid w:val="009175BD"/>
    <w:rsid w:val="009177E0"/>
    <w:rsid w:val="00921B9C"/>
    <w:rsid w:val="00922CB0"/>
    <w:rsid w:val="0092380C"/>
    <w:rsid w:val="0092450B"/>
    <w:rsid w:val="00924817"/>
    <w:rsid w:val="00926A50"/>
    <w:rsid w:val="00927714"/>
    <w:rsid w:val="00927AE9"/>
    <w:rsid w:val="00932C8A"/>
    <w:rsid w:val="00933C06"/>
    <w:rsid w:val="00933E3A"/>
    <w:rsid w:val="00933EE4"/>
    <w:rsid w:val="009342A3"/>
    <w:rsid w:val="00935539"/>
    <w:rsid w:val="00935A6D"/>
    <w:rsid w:val="00935B45"/>
    <w:rsid w:val="00935EB9"/>
    <w:rsid w:val="00937064"/>
    <w:rsid w:val="009372C4"/>
    <w:rsid w:val="00937CCE"/>
    <w:rsid w:val="00937D2C"/>
    <w:rsid w:val="00940480"/>
    <w:rsid w:val="00941DB5"/>
    <w:rsid w:val="009423AD"/>
    <w:rsid w:val="00942707"/>
    <w:rsid w:val="00943601"/>
    <w:rsid w:val="0094464C"/>
    <w:rsid w:val="00945299"/>
    <w:rsid w:val="009459D5"/>
    <w:rsid w:val="00945AA9"/>
    <w:rsid w:val="00946567"/>
    <w:rsid w:val="0095006D"/>
    <w:rsid w:val="00950D51"/>
    <w:rsid w:val="00951B12"/>
    <w:rsid w:val="00951FBC"/>
    <w:rsid w:val="00953AF1"/>
    <w:rsid w:val="00955571"/>
    <w:rsid w:val="00956E60"/>
    <w:rsid w:val="00957DCC"/>
    <w:rsid w:val="00960CBA"/>
    <w:rsid w:val="009614C5"/>
    <w:rsid w:val="00961E99"/>
    <w:rsid w:val="0096447F"/>
    <w:rsid w:val="00964BFF"/>
    <w:rsid w:val="009659FE"/>
    <w:rsid w:val="00965ADB"/>
    <w:rsid w:val="00966D8C"/>
    <w:rsid w:val="00967258"/>
    <w:rsid w:val="009673C8"/>
    <w:rsid w:val="00971779"/>
    <w:rsid w:val="00972042"/>
    <w:rsid w:val="009727B9"/>
    <w:rsid w:val="00972910"/>
    <w:rsid w:val="00972A55"/>
    <w:rsid w:val="00972CF0"/>
    <w:rsid w:val="00973A00"/>
    <w:rsid w:val="00973D8D"/>
    <w:rsid w:val="009753DB"/>
    <w:rsid w:val="00975AF0"/>
    <w:rsid w:val="009765FD"/>
    <w:rsid w:val="0097661C"/>
    <w:rsid w:val="00980043"/>
    <w:rsid w:val="009802EC"/>
    <w:rsid w:val="0098208D"/>
    <w:rsid w:val="009821BF"/>
    <w:rsid w:val="009825C4"/>
    <w:rsid w:val="00982B7E"/>
    <w:rsid w:val="00983CB3"/>
    <w:rsid w:val="00984098"/>
    <w:rsid w:val="0098411E"/>
    <w:rsid w:val="00984457"/>
    <w:rsid w:val="00984879"/>
    <w:rsid w:val="009849C8"/>
    <w:rsid w:val="00984FE3"/>
    <w:rsid w:val="00985665"/>
    <w:rsid w:val="00985A55"/>
    <w:rsid w:val="00985D6E"/>
    <w:rsid w:val="009862C8"/>
    <w:rsid w:val="00986673"/>
    <w:rsid w:val="00986D23"/>
    <w:rsid w:val="00986E3F"/>
    <w:rsid w:val="0098741E"/>
    <w:rsid w:val="00987BA4"/>
    <w:rsid w:val="0099045B"/>
    <w:rsid w:val="009913CF"/>
    <w:rsid w:val="00991D9A"/>
    <w:rsid w:val="00992FEB"/>
    <w:rsid w:val="0099336F"/>
    <w:rsid w:val="009934F1"/>
    <w:rsid w:val="00993F5B"/>
    <w:rsid w:val="00994EB3"/>
    <w:rsid w:val="0099577F"/>
    <w:rsid w:val="0099663F"/>
    <w:rsid w:val="009968FF"/>
    <w:rsid w:val="00997A60"/>
    <w:rsid w:val="00997E47"/>
    <w:rsid w:val="009A00D8"/>
    <w:rsid w:val="009A011A"/>
    <w:rsid w:val="009A0679"/>
    <w:rsid w:val="009A11BB"/>
    <w:rsid w:val="009A1705"/>
    <w:rsid w:val="009A1C5C"/>
    <w:rsid w:val="009A3237"/>
    <w:rsid w:val="009A45B5"/>
    <w:rsid w:val="009A665F"/>
    <w:rsid w:val="009A6DE9"/>
    <w:rsid w:val="009A73EF"/>
    <w:rsid w:val="009A756F"/>
    <w:rsid w:val="009A7F60"/>
    <w:rsid w:val="009B18B9"/>
    <w:rsid w:val="009B377D"/>
    <w:rsid w:val="009B3E3F"/>
    <w:rsid w:val="009B5B7B"/>
    <w:rsid w:val="009B732A"/>
    <w:rsid w:val="009B7B92"/>
    <w:rsid w:val="009B7F53"/>
    <w:rsid w:val="009C0061"/>
    <w:rsid w:val="009C0CE3"/>
    <w:rsid w:val="009C14CA"/>
    <w:rsid w:val="009C15DC"/>
    <w:rsid w:val="009C20A1"/>
    <w:rsid w:val="009C334A"/>
    <w:rsid w:val="009C354F"/>
    <w:rsid w:val="009C41B9"/>
    <w:rsid w:val="009C5263"/>
    <w:rsid w:val="009C6096"/>
    <w:rsid w:val="009C70D0"/>
    <w:rsid w:val="009C720E"/>
    <w:rsid w:val="009C7FD6"/>
    <w:rsid w:val="009D0190"/>
    <w:rsid w:val="009D0B91"/>
    <w:rsid w:val="009D1681"/>
    <w:rsid w:val="009D1CF1"/>
    <w:rsid w:val="009D2A84"/>
    <w:rsid w:val="009D34A9"/>
    <w:rsid w:val="009D4A3C"/>
    <w:rsid w:val="009D4D54"/>
    <w:rsid w:val="009D6BEB"/>
    <w:rsid w:val="009D7065"/>
    <w:rsid w:val="009D7CB4"/>
    <w:rsid w:val="009D7D35"/>
    <w:rsid w:val="009E029B"/>
    <w:rsid w:val="009E0A87"/>
    <w:rsid w:val="009E2032"/>
    <w:rsid w:val="009E3433"/>
    <w:rsid w:val="009E3F37"/>
    <w:rsid w:val="009E420C"/>
    <w:rsid w:val="009E58D6"/>
    <w:rsid w:val="009E5CAC"/>
    <w:rsid w:val="009F0442"/>
    <w:rsid w:val="009F13B9"/>
    <w:rsid w:val="009F1C1F"/>
    <w:rsid w:val="009F20A5"/>
    <w:rsid w:val="009F2E60"/>
    <w:rsid w:val="009F32BA"/>
    <w:rsid w:val="009F3B6C"/>
    <w:rsid w:val="009F4316"/>
    <w:rsid w:val="009F4616"/>
    <w:rsid w:val="009F5039"/>
    <w:rsid w:val="009F54F2"/>
    <w:rsid w:val="009F5D77"/>
    <w:rsid w:val="009F6C0A"/>
    <w:rsid w:val="009F6E3C"/>
    <w:rsid w:val="009F6EA1"/>
    <w:rsid w:val="009F6EC3"/>
    <w:rsid w:val="00A00660"/>
    <w:rsid w:val="00A00692"/>
    <w:rsid w:val="00A00B6D"/>
    <w:rsid w:val="00A01386"/>
    <w:rsid w:val="00A0169C"/>
    <w:rsid w:val="00A01FD2"/>
    <w:rsid w:val="00A02A77"/>
    <w:rsid w:val="00A02C3E"/>
    <w:rsid w:val="00A02FA7"/>
    <w:rsid w:val="00A03678"/>
    <w:rsid w:val="00A04552"/>
    <w:rsid w:val="00A04B2F"/>
    <w:rsid w:val="00A04C8E"/>
    <w:rsid w:val="00A05CBE"/>
    <w:rsid w:val="00A06B09"/>
    <w:rsid w:val="00A06C18"/>
    <w:rsid w:val="00A072A2"/>
    <w:rsid w:val="00A078FA"/>
    <w:rsid w:val="00A07D7A"/>
    <w:rsid w:val="00A1271F"/>
    <w:rsid w:val="00A136EA"/>
    <w:rsid w:val="00A1379A"/>
    <w:rsid w:val="00A13813"/>
    <w:rsid w:val="00A13A21"/>
    <w:rsid w:val="00A13D34"/>
    <w:rsid w:val="00A147D8"/>
    <w:rsid w:val="00A150E6"/>
    <w:rsid w:val="00A15E60"/>
    <w:rsid w:val="00A1607C"/>
    <w:rsid w:val="00A166D9"/>
    <w:rsid w:val="00A16B06"/>
    <w:rsid w:val="00A20ADD"/>
    <w:rsid w:val="00A20D75"/>
    <w:rsid w:val="00A2113B"/>
    <w:rsid w:val="00A24E90"/>
    <w:rsid w:val="00A25697"/>
    <w:rsid w:val="00A26A15"/>
    <w:rsid w:val="00A26A17"/>
    <w:rsid w:val="00A26E66"/>
    <w:rsid w:val="00A26F49"/>
    <w:rsid w:val="00A27803"/>
    <w:rsid w:val="00A27DAA"/>
    <w:rsid w:val="00A3010B"/>
    <w:rsid w:val="00A30B38"/>
    <w:rsid w:val="00A31703"/>
    <w:rsid w:val="00A32C55"/>
    <w:rsid w:val="00A32C5B"/>
    <w:rsid w:val="00A32CB3"/>
    <w:rsid w:val="00A33225"/>
    <w:rsid w:val="00A33883"/>
    <w:rsid w:val="00A3388E"/>
    <w:rsid w:val="00A356FB"/>
    <w:rsid w:val="00A35880"/>
    <w:rsid w:val="00A3639C"/>
    <w:rsid w:val="00A37019"/>
    <w:rsid w:val="00A405BF"/>
    <w:rsid w:val="00A41EDF"/>
    <w:rsid w:val="00A42028"/>
    <w:rsid w:val="00A42182"/>
    <w:rsid w:val="00A42372"/>
    <w:rsid w:val="00A43230"/>
    <w:rsid w:val="00A43A0D"/>
    <w:rsid w:val="00A44E32"/>
    <w:rsid w:val="00A455D2"/>
    <w:rsid w:val="00A45DCA"/>
    <w:rsid w:val="00A460BD"/>
    <w:rsid w:val="00A46298"/>
    <w:rsid w:val="00A467F1"/>
    <w:rsid w:val="00A46A9F"/>
    <w:rsid w:val="00A47267"/>
    <w:rsid w:val="00A4784A"/>
    <w:rsid w:val="00A47CA4"/>
    <w:rsid w:val="00A50909"/>
    <w:rsid w:val="00A511D4"/>
    <w:rsid w:val="00A542F8"/>
    <w:rsid w:val="00A545FB"/>
    <w:rsid w:val="00A548F8"/>
    <w:rsid w:val="00A54AF0"/>
    <w:rsid w:val="00A557B7"/>
    <w:rsid w:val="00A55D93"/>
    <w:rsid w:val="00A579F8"/>
    <w:rsid w:val="00A604D9"/>
    <w:rsid w:val="00A60E96"/>
    <w:rsid w:val="00A6176A"/>
    <w:rsid w:val="00A62481"/>
    <w:rsid w:val="00A63428"/>
    <w:rsid w:val="00A638C0"/>
    <w:rsid w:val="00A6404E"/>
    <w:rsid w:val="00A64E97"/>
    <w:rsid w:val="00A65A1C"/>
    <w:rsid w:val="00A66314"/>
    <w:rsid w:val="00A6687C"/>
    <w:rsid w:val="00A67650"/>
    <w:rsid w:val="00A67D83"/>
    <w:rsid w:val="00A7057D"/>
    <w:rsid w:val="00A70E0B"/>
    <w:rsid w:val="00A70FA0"/>
    <w:rsid w:val="00A71A74"/>
    <w:rsid w:val="00A72FE2"/>
    <w:rsid w:val="00A734FF"/>
    <w:rsid w:val="00A73524"/>
    <w:rsid w:val="00A73A89"/>
    <w:rsid w:val="00A74B66"/>
    <w:rsid w:val="00A750B9"/>
    <w:rsid w:val="00A75265"/>
    <w:rsid w:val="00A77C0F"/>
    <w:rsid w:val="00A8042D"/>
    <w:rsid w:val="00A80803"/>
    <w:rsid w:val="00A81F4B"/>
    <w:rsid w:val="00A8230C"/>
    <w:rsid w:val="00A82B14"/>
    <w:rsid w:val="00A83BF8"/>
    <w:rsid w:val="00A8477B"/>
    <w:rsid w:val="00A848C5"/>
    <w:rsid w:val="00A84E58"/>
    <w:rsid w:val="00A86935"/>
    <w:rsid w:val="00A86F20"/>
    <w:rsid w:val="00A8798B"/>
    <w:rsid w:val="00A87BFF"/>
    <w:rsid w:val="00A87F7D"/>
    <w:rsid w:val="00A90EE5"/>
    <w:rsid w:val="00A9178C"/>
    <w:rsid w:val="00A919DF"/>
    <w:rsid w:val="00A93F9B"/>
    <w:rsid w:val="00A94714"/>
    <w:rsid w:val="00A94E6D"/>
    <w:rsid w:val="00A94E88"/>
    <w:rsid w:val="00A960AF"/>
    <w:rsid w:val="00A963C0"/>
    <w:rsid w:val="00A96A81"/>
    <w:rsid w:val="00A9726D"/>
    <w:rsid w:val="00A97295"/>
    <w:rsid w:val="00AA00D5"/>
    <w:rsid w:val="00AA0C6D"/>
    <w:rsid w:val="00AA0F0F"/>
    <w:rsid w:val="00AA0FAB"/>
    <w:rsid w:val="00AA0FC7"/>
    <w:rsid w:val="00AA11DE"/>
    <w:rsid w:val="00AA12C8"/>
    <w:rsid w:val="00AA1E32"/>
    <w:rsid w:val="00AA267D"/>
    <w:rsid w:val="00AA2796"/>
    <w:rsid w:val="00AA3393"/>
    <w:rsid w:val="00AA3F69"/>
    <w:rsid w:val="00AA4401"/>
    <w:rsid w:val="00AA443E"/>
    <w:rsid w:val="00AA4760"/>
    <w:rsid w:val="00AA5017"/>
    <w:rsid w:val="00AA6132"/>
    <w:rsid w:val="00AA70F5"/>
    <w:rsid w:val="00AA7238"/>
    <w:rsid w:val="00AB0554"/>
    <w:rsid w:val="00AB07B5"/>
    <w:rsid w:val="00AB109C"/>
    <w:rsid w:val="00AB124D"/>
    <w:rsid w:val="00AB2887"/>
    <w:rsid w:val="00AB2CCD"/>
    <w:rsid w:val="00AB37BB"/>
    <w:rsid w:val="00AB3FC8"/>
    <w:rsid w:val="00AB3FED"/>
    <w:rsid w:val="00AB46CA"/>
    <w:rsid w:val="00AB4F21"/>
    <w:rsid w:val="00AB4FCF"/>
    <w:rsid w:val="00AB57C4"/>
    <w:rsid w:val="00AB6CA8"/>
    <w:rsid w:val="00AB726E"/>
    <w:rsid w:val="00AC05AF"/>
    <w:rsid w:val="00AC0DE4"/>
    <w:rsid w:val="00AC1260"/>
    <w:rsid w:val="00AC1335"/>
    <w:rsid w:val="00AC158A"/>
    <w:rsid w:val="00AC23A2"/>
    <w:rsid w:val="00AC2F40"/>
    <w:rsid w:val="00AC3D1E"/>
    <w:rsid w:val="00AC3F16"/>
    <w:rsid w:val="00AC4065"/>
    <w:rsid w:val="00AC4419"/>
    <w:rsid w:val="00AC5208"/>
    <w:rsid w:val="00AC603D"/>
    <w:rsid w:val="00AC6784"/>
    <w:rsid w:val="00AC762F"/>
    <w:rsid w:val="00AC7907"/>
    <w:rsid w:val="00AD0281"/>
    <w:rsid w:val="00AD0847"/>
    <w:rsid w:val="00AD0E4E"/>
    <w:rsid w:val="00AD261B"/>
    <w:rsid w:val="00AD29A1"/>
    <w:rsid w:val="00AD2BFA"/>
    <w:rsid w:val="00AD314B"/>
    <w:rsid w:val="00AD358A"/>
    <w:rsid w:val="00AD3944"/>
    <w:rsid w:val="00AD5580"/>
    <w:rsid w:val="00AD566E"/>
    <w:rsid w:val="00AD572E"/>
    <w:rsid w:val="00AD61CB"/>
    <w:rsid w:val="00AD6850"/>
    <w:rsid w:val="00AD6A92"/>
    <w:rsid w:val="00AD6F42"/>
    <w:rsid w:val="00AD7195"/>
    <w:rsid w:val="00AD7D48"/>
    <w:rsid w:val="00AE07DA"/>
    <w:rsid w:val="00AE0BF7"/>
    <w:rsid w:val="00AE17D3"/>
    <w:rsid w:val="00AE1B8C"/>
    <w:rsid w:val="00AE2685"/>
    <w:rsid w:val="00AE3AC3"/>
    <w:rsid w:val="00AE5D07"/>
    <w:rsid w:val="00AE65EE"/>
    <w:rsid w:val="00AE6FA6"/>
    <w:rsid w:val="00AE775A"/>
    <w:rsid w:val="00AE7F60"/>
    <w:rsid w:val="00AF0109"/>
    <w:rsid w:val="00AF0735"/>
    <w:rsid w:val="00AF0881"/>
    <w:rsid w:val="00AF32B6"/>
    <w:rsid w:val="00AF32C4"/>
    <w:rsid w:val="00AF47BE"/>
    <w:rsid w:val="00AF57AC"/>
    <w:rsid w:val="00AF62A3"/>
    <w:rsid w:val="00AF632F"/>
    <w:rsid w:val="00AF6F95"/>
    <w:rsid w:val="00AF7EC2"/>
    <w:rsid w:val="00B01416"/>
    <w:rsid w:val="00B01874"/>
    <w:rsid w:val="00B01BDB"/>
    <w:rsid w:val="00B024C0"/>
    <w:rsid w:val="00B03229"/>
    <w:rsid w:val="00B03358"/>
    <w:rsid w:val="00B03DC3"/>
    <w:rsid w:val="00B03DF0"/>
    <w:rsid w:val="00B04876"/>
    <w:rsid w:val="00B04895"/>
    <w:rsid w:val="00B06523"/>
    <w:rsid w:val="00B1007E"/>
    <w:rsid w:val="00B100FF"/>
    <w:rsid w:val="00B12190"/>
    <w:rsid w:val="00B12802"/>
    <w:rsid w:val="00B14C06"/>
    <w:rsid w:val="00B14CE9"/>
    <w:rsid w:val="00B15718"/>
    <w:rsid w:val="00B16063"/>
    <w:rsid w:val="00B1756B"/>
    <w:rsid w:val="00B17A9B"/>
    <w:rsid w:val="00B20603"/>
    <w:rsid w:val="00B20762"/>
    <w:rsid w:val="00B20FA6"/>
    <w:rsid w:val="00B21B30"/>
    <w:rsid w:val="00B21FE4"/>
    <w:rsid w:val="00B2231B"/>
    <w:rsid w:val="00B22780"/>
    <w:rsid w:val="00B22A0B"/>
    <w:rsid w:val="00B24017"/>
    <w:rsid w:val="00B244A3"/>
    <w:rsid w:val="00B2464E"/>
    <w:rsid w:val="00B2556A"/>
    <w:rsid w:val="00B25AB9"/>
    <w:rsid w:val="00B25FE7"/>
    <w:rsid w:val="00B26AB9"/>
    <w:rsid w:val="00B27019"/>
    <w:rsid w:val="00B2711C"/>
    <w:rsid w:val="00B27171"/>
    <w:rsid w:val="00B27538"/>
    <w:rsid w:val="00B27A50"/>
    <w:rsid w:val="00B308F7"/>
    <w:rsid w:val="00B311B4"/>
    <w:rsid w:val="00B33127"/>
    <w:rsid w:val="00B3378E"/>
    <w:rsid w:val="00B34A34"/>
    <w:rsid w:val="00B34B9B"/>
    <w:rsid w:val="00B35162"/>
    <w:rsid w:val="00B3526E"/>
    <w:rsid w:val="00B36073"/>
    <w:rsid w:val="00B36571"/>
    <w:rsid w:val="00B37424"/>
    <w:rsid w:val="00B40950"/>
    <w:rsid w:val="00B40ED8"/>
    <w:rsid w:val="00B40F22"/>
    <w:rsid w:val="00B40FDE"/>
    <w:rsid w:val="00B41B61"/>
    <w:rsid w:val="00B4241F"/>
    <w:rsid w:val="00B4307F"/>
    <w:rsid w:val="00B43A4C"/>
    <w:rsid w:val="00B43F5C"/>
    <w:rsid w:val="00B43FEA"/>
    <w:rsid w:val="00B4472F"/>
    <w:rsid w:val="00B449B0"/>
    <w:rsid w:val="00B45026"/>
    <w:rsid w:val="00B45263"/>
    <w:rsid w:val="00B45ECF"/>
    <w:rsid w:val="00B47390"/>
    <w:rsid w:val="00B5019D"/>
    <w:rsid w:val="00B50D9B"/>
    <w:rsid w:val="00B514DB"/>
    <w:rsid w:val="00B52BD2"/>
    <w:rsid w:val="00B52CE6"/>
    <w:rsid w:val="00B52E7F"/>
    <w:rsid w:val="00B5344A"/>
    <w:rsid w:val="00B53580"/>
    <w:rsid w:val="00B5371E"/>
    <w:rsid w:val="00B541F2"/>
    <w:rsid w:val="00B5598D"/>
    <w:rsid w:val="00B56134"/>
    <w:rsid w:val="00B57452"/>
    <w:rsid w:val="00B5761E"/>
    <w:rsid w:val="00B57DEF"/>
    <w:rsid w:val="00B601FC"/>
    <w:rsid w:val="00B61745"/>
    <w:rsid w:val="00B6231B"/>
    <w:rsid w:val="00B62815"/>
    <w:rsid w:val="00B62B32"/>
    <w:rsid w:val="00B63645"/>
    <w:rsid w:val="00B65C57"/>
    <w:rsid w:val="00B65CCE"/>
    <w:rsid w:val="00B65F41"/>
    <w:rsid w:val="00B702F1"/>
    <w:rsid w:val="00B70D75"/>
    <w:rsid w:val="00B70EEF"/>
    <w:rsid w:val="00B7149A"/>
    <w:rsid w:val="00B720A3"/>
    <w:rsid w:val="00B7277E"/>
    <w:rsid w:val="00B72FAD"/>
    <w:rsid w:val="00B735FD"/>
    <w:rsid w:val="00B75947"/>
    <w:rsid w:val="00B75953"/>
    <w:rsid w:val="00B767FD"/>
    <w:rsid w:val="00B81207"/>
    <w:rsid w:val="00B81746"/>
    <w:rsid w:val="00B81C12"/>
    <w:rsid w:val="00B81C75"/>
    <w:rsid w:val="00B81DD1"/>
    <w:rsid w:val="00B829EE"/>
    <w:rsid w:val="00B8401A"/>
    <w:rsid w:val="00B842A5"/>
    <w:rsid w:val="00B84853"/>
    <w:rsid w:val="00B86272"/>
    <w:rsid w:val="00B86393"/>
    <w:rsid w:val="00B864BB"/>
    <w:rsid w:val="00B868C6"/>
    <w:rsid w:val="00B86E93"/>
    <w:rsid w:val="00B87BC4"/>
    <w:rsid w:val="00B91641"/>
    <w:rsid w:val="00B917C3"/>
    <w:rsid w:val="00B919E4"/>
    <w:rsid w:val="00B91DC0"/>
    <w:rsid w:val="00B9306E"/>
    <w:rsid w:val="00B9382E"/>
    <w:rsid w:val="00B93BCE"/>
    <w:rsid w:val="00B94976"/>
    <w:rsid w:val="00B949C3"/>
    <w:rsid w:val="00B95382"/>
    <w:rsid w:val="00B96827"/>
    <w:rsid w:val="00B969AD"/>
    <w:rsid w:val="00BA06F3"/>
    <w:rsid w:val="00BA0CB3"/>
    <w:rsid w:val="00BA10D5"/>
    <w:rsid w:val="00BA1140"/>
    <w:rsid w:val="00BA168D"/>
    <w:rsid w:val="00BA1CD6"/>
    <w:rsid w:val="00BA1E58"/>
    <w:rsid w:val="00BA2E16"/>
    <w:rsid w:val="00BA536B"/>
    <w:rsid w:val="00BA5D05"/>
    <w:rsid w:val="00BA6575"/>
    <w:rsid w:val="00BA674B"/>
    <w:rsid w:val="00BA6DB3"/>
    <w:rsid w:val="00BA7ECE"/>
    <w:rsid w:val="00BB18A5"/>
    <w:rsid w:val="00BB26B4"/>
    <w:rsid w:val="00BB2968"/>
    <w:rsid w:val="00BB2CB4"/>
    <w:rsid w:val="00BB451D"/>
    <w:rsid w:val="00BB45B8"/>
    <w:rsid w:val="00BB5390"/>
    <w:rsid w:val="00BB5730"/>
    <w:rsid w:val="00BB7BD4"/>
    <w:rsid w:val="00BC03F2"/>
    <w:rsid w:val="00BC0D62"/>
    <w:rsid w:val="00BC0F80"/>
    <w:rsid w:val="00BC13A7"/>
    <w:rsid w:val="00BC1D2E"/>
    <w:rsid w:val="00BC1DD7"/>
    <w:rsid w:val="00BC4CA0"/>
    <w:rsid w:val="00BC521B"/>
    <w:rsid w:val="00BC5491"/>
    <w:rsid w:val="00BC605D"/>
    <w:rsid w:val="00BC6C69"/>
    <w:rsid w:val="00BC6CB6"/>
    <w:rsid w:val="00BD03B7"/>
    <w:rsid w:val="00BD0833"/>
    <w:rsid w:val="00BD15B8"/>
    <w:rsid w:val="00BD1F82"/>
    <w:rsid w:val="00BD1FCC"/>
    <w:rsid w:val="00BD231B"/>
    <w:rsid w:val="00BD277A"/>
    <w:rsid w:val="00BD36AA"/>
    <w:rsid w:val="00BD441C"/>
    <w:rsid w:val="00BD44A6"/>
    <w:rsid w:val="00BD47F5"/>
    <w:rsid w:val="00BD4DA5"/>
    <w:rsid w:val="00BD5FB6"/>
    <w:rsid w:val="00BD6497"/>
    <w:rsid w:val="00BD66BC"/>
    <w:rsid w:val="00BD69C7"/>
    <w:rsid w:val="00BD6E5F"/>
    <w:rsid w:val="00BE06E7"/>
    <w:rsid w:val="00BE3F3B"/>
    <w:rsid w:val="00BE437E"/>
    <w:rsid w:val="00BE603C"/>
    <w:rsid w:val="00BE790A"/>
    <w:rsid w:val="00BE7D44"/>
    <w:rsid w:val="00BF0923"/>
    <w:rsid w:val="00BF0E1E"/>
    <w:rsid w:val="00BF1E32"/>
    <w:rsid w:val="00BF1E58"/>
    <w:rsid w:val="00BF1EB9"/>
    <w:rsid w:val="00BF2D1A"/>
    <w:rsid w:val="00BF3051"/>
    <w:rsid w:val="00BF3B11"/>
    <w:rsid w:val="00BF3D53"/>
    <w:rsid w:val="00BF47B3"/>
    <w:rsid w:val="00BF49FA"/>
    <w:rsid w:val="00BF51AF"/>
    <w:rsid w:val="00BF6873"/>
    <w:rsid w:val="00BF6A3B"/>
    <w:rsid w:val="00BF6C72"/>
    <w:rsid w:val="00C005A4"/>
    <w:rsid w:val="00C00F41"/>
    <w:rsid w:val="00C016D1"/>
    <w:rsid w:val="00C02337"/>
    <w:rsid w:val="00C026B3"/>
    <w:rsid w:val="00C02BC9"/>
    <w:rsid w:val="00C0322D"/>
    <w:rsid w:val="00C03237"/>
    <w:rsid w:val="00C03383"/>
    <w:rsid w:val="00C03769"/>
    <w:rsid w:val="00C038AA"/>
    <w:rsid w:val="00C03E84"/>
    <w:rsid w:val="00C04632"/>
    <w:rsid w:val="00C04E8A"/>
    <w:rsid w:val="00C05ADC"/>
    <w:rsid w:val="00C060C7"/>
    <w:rsid w:val="00C06156"/>
    <w:rsid w:val="00C06EE6"/>
    <w:rsid w:val="00C07DCD"/>
    <w:rsid w:val="00C1045B"/>
    <w:rsid w:val="00C11C39"/>
    <w:rsid w:val="00C11FEC"/>
    <w:rsid w:val="00C12130"/>
    <w:rsid w:val="00C12CC0"/>
    <w:rsid w:val="00C12F68"/>
    <w:rsid w:val="00C147CF"/>
    <w:rsid w:val="00C14D9E"/>
    <w:rsid w:val="00C15330"/>
    <w:rsid w:val="00C15798"/>
    <w:rsid w:val="00C15B4E"/>
    <w:rsid w:val="00C1601D"/>
    <w:rsid w:val="00C17E19"/>
    <w:rsid w:val="00C20373"/>
    <w:rsid w:val="00C2088F"/>
    <w:rsid w:val="00C210A0"/>
    <w:rsid w:val="00C22305"/>
    <w:rsid w:val="00C2245F"/>
    <w:rsid w:val="00C2257D"/>
    <w:rsid w:val="00C23036"/>
    <w:rsid w:val="00C23C81"/>
    <w:rsid w:val="00C23E31"/>
    <w:rsid w:val="00C24EF6"/>
    <w:rsid w:val="00C25280"/>
    <w:rsid w:val="00C25759"/>
    <w:rsid w:val="00C26D7E"/>
    <w:rsid w:val="00C27549"/>
    <w:rsid w:val="00C27D35"/>
    <w:rsid w:val="00C30609"/>
    <w:rsid w:val="00C30637"/>
    <w:rsid w:val="00C312F8"/>
    <w:rsid w:val="00C31509"/>
    <w:rsid w:val="00C32240"/>
    <w:rsid w:val="00C3282E"/>
    <w:rsid w:val="00C3360E"/>
    <w:rsid w:val="00C336F5"/>
    <w:rsid w:val="00C34594"/>
    <w:rsid w:val="00C34954"/>
    <w:rsid w:val="00C357FC"/>
    <w:rsid w:val="00C378AC"/>
    <w:rsid w:val="00C37D89"/>
    <w:rsid w:val="00C4117A"/>
    <w:rsid w:val="00C41A56"/>
    <w:rsid w:val="00C4251A"/>
    <w:rsid w:val="00C4352E"/>
    <w:rsid w:val="00C446D2"/>
    <w:rsid w:val="00C44EC2"/>
    <w:rsid w:val="00C463EA"/>
    <w:rsid w:val="00C46C27"/>
    <w:rsid w:val="00C46FC0"/>
    <w:rsid w:val="00C473CD"/>
    <w:rsid w:val="00C47E79"/>
    <w:rsid w:val="00C500C7"/>
    <w:rsid w:val="00C50895"/>
    <w:rsid w:val="00C51715"/>
    <w:rsid w:val="00C51A9B"/>
    <w:rsid w:val="00C52119"/>
    <w:rsid w:val="00C533E9"/>
    <w:rsid w:val="00C55893"/>
    <w:rsid w:val="00C5759F"/>
    <w:rsid w:val="00C611BE"/>
    <w:rsid w:val="00C61258"/>
    <w:rsid w:val="00C618FE"/>
    <w:rsid w:val="00C61B8B"/>
    <w:rsid w:val="00C6260B"/>
    <w:rsid w:val="00C628B9"/>
    <w:rsid w:val="00C62F55"/>
    <w:rsid w:val="00C63012"/>
    <w:rsid w:val="00C64869"/>
    <w:rsid w:val="00C64F4C"/>
    <w:rsid w:val="00C65072"/>
    <w:rsid w:val="00C65E08"/>
    <w:rsid w:val="00C70817"/>
    <w:rsid w:val="00C70B0C"/>
    <w:rsid w:val="00C715C4"/>
    <w:rsid w:val="00C7327C"/>
    <w:rsid w:val="00C73296"/>
    <w:rsid w:val="00C73C1A"/>
    <w:rsid w:val="00C73CE8"/>
    <w:rsid w:val="00C748A6"/>
    <w:rsid w:val="00C75406"/>
    <w:rsid w:val="00C7646D"/>
    <w:rsid w:val="00C7687F"/>
    <w:rsid w:val="00C76B3A"/>
    <w:rsid w:val="00C7772B"/>
    <w:rsid w:val="00C77B45"/>
    <w:rsid w:val="00C77F95"/>
    <w:rsid w:val="00C80721"/>
    <w:rsid w:val="00C80809"/>
    <w:rsid w:val="00C80E14"/>
    <w:rsid w:val="00C81609"/>
    <w:rsid w:val="00C8177C"/>
    <w:rsid w:val="00C81DD7"/>
    <w:rsid w:val="00C821B3"/>
    <w:rsid w:val="00C830DD"/>
    <w:rsid w:val="00C83A6E"/>
    <w:rsid w:val="00C845A6"/>
    <w:rsid w:val="00C84F42"/>
    <w:rsid w:val="00C8544D"/>
    <w:rsid w:val="00C854E6"/>
    <w:rsid w:val="00C85CD4"/>
    <w:rsid w:val="00C85E3A"/>
    <w:rsid w:val="00C85ECE"/>
    <w:rsid w:val="00C86392"/>
    <w:rsid w:val="00C871F6"/>
    <w:rsid w:val="00C876C2"/>
    <w:rsid w:val="00C90854"/>
    <w:rsid w:val="00C91B5C"/>
    <w:rsid w:val="00C91DEC"/>
    <w:rsid w:val="00C91F65"/>
    <w:rsid w:val="00C9207F"/>
    <w:rsid w:val="00C92AE6"/>
    <w:rsid w:val="00C92E92"/>
    <w:rsid w:val="00C92F04"/>
    <w:rsid w:val="00C9371F"/>
    <w:rsid w:val="00C93C50"/>
    <w:rsid w:val="00C955F5"/>
    <w:rsid w:val="00C95FCF"/>
    <w:rsid w:val="00C96366"/>
    <w:rsid w:val="00C964C4"/>
    <w:rsid w:val="00C96F31"/>
    <w:rsid w:val="00C9717C"/>
    <w:rsid w:val="00C976C7"/>
    <w:rsid w:val="00C97D21"/>
    <w:rsid w:val="00C97F0E"/>
    <w:rsid w:val="00CA0011"/>
    <w:rsid w:val="00CA15A3"/>
    <w:rsid w:val="00CA1BA1"/>
    <w:rsid w:val="00CA2017"/>
    <w:rsid w:val="00CA2BA7"/>
    <w:rsid w:val="00CA3145"/>
    <w:rsid w:val="00CA33BD"/>
    <w:rsid w:val="00CA3D78"/>
    <w:rsid w:val="00CA4E34"/>
    <w:rsid w:val="00CA5385"/>
    <w:rsid w:val="00CA5D6F"/>
    <w:rsid w:val="00CA67F8"/>
    <w:rsid w:val="00CA6F3D"/>
    <w:rsid w:val="00CA714F"/>
    <w:rsid w:val="00CA75A3"/>
    <w:rsid w:val="00CA7811"/>
    <w:rsid w:val="00CA7871"/>
    <w:rsid w:val="00CA7A87"/>
    <w:rsid w:val="00CA7D7D"/>
    <w:rsid w:val="00CB017E"/>
    <w:rsid w:val="00CB147B"/>
    <w:rsid w:val="00CB3607"/>
    <w:rsid w:val="00CB3709"/>
    <w:rsid w:val="00CB3C1A"/>
    <w:rsid w:val="00CB3FC9"/>
    <w:rsid w:val="00CB41EE"/>
    <w:rsid w:val="00CB5224"/>
    <w:rsid w:val="00CB5DC8"/>
    <w:rsid w:val="00CB62ED"/>
    <w:rsid w:val="00CB63F2"/>
    <w:rsid w:val="00CB728A"/>
    <w:rsid w:val="00CB7722"/>
    <w:rsid w:val="00CC0D70"/>
    <w:rsid w:val="00CC0E47"/>
    <w:rsid w:val="00CC1DB2"/>
    <w:rsid w:val="00CC4DFF"/>
    <w:rsid w:val="00CC4EC5"/>
    <w:rsid w:val="00CC5919"/>
    <w:rsid w:val="00CC6154"/>
    <w:rsid w:val="00CC6703"/>
    <w:rsid w:val="00CC696E"/>
    <w:rsid w:val="00CC697B"/>
    <w:rsid w:val="00CC6CB1"/>
    <w:rsid w:val="00CC7B05"/>
    <w:rsid w:val="00CD0182"/>
    <w:rsid w:val="00CD184C"/>
    <w:rsid w:val="00CD2C25"/>
    <w:rsid w:val="00CD325D"/>
    <w:rsid w:val="00CD3301"/>
    <w:rsid w:val="00CD37CB"/>
    <w:rsid w:val="00CD37CD"/>
    <w:rsid w:val="00CD479B"/>
    <w:rsid w:val="00CD4D4E"/>
    <w:rsid w:val="00CD4EDA"/>
    <w:rsid w:val="00CD6023"/>
    <w:rsid w:val="00CD6032"/>
    <w:rsid w:val="00CD60D0"/>
    <w:rsid w:val="00CD669C"/>
    <w:rsid w:val="00CE095B"/>
    <w:rsid w:val="00CE0DCC"/>
    <w:rsid w:val="00CE1DBE"/>
    <w:rsid w:val="00CE2391"/>
    <w:rsid w:val="00CE29D6"/>
    <w:rsid w:val="00CE3E03"/>
    <w:rsid w:val="00CE5C51"/>
    <w:rsid w:val="00CE6B63"/>
    <w:rsid w:val="00CE74F9"/>
    <w:rsid w:val="00CE7851"/>
    <w:rsid w:val="00CE7C7A"/>
    <w:rsid w:val="00CF0661"/>
    <w:rsid w:val="00CF0AE0"/>
    <w:rsid w:val="00CF17B8"/>
    <w:rsid w:val="00CF1BE7"/>
    <w:rsid w:val="00CF1DB9"/>
    <w:rsid w:val="00CF20B0"/>
    <w:rsid w:val="00CF382B"/>
    <w:rsid w:val="00CF4A92"/>
    <w:rsid w:val="00CF5655"/>
    <w:rsid w:val="00CF68AA"/>
    <w:rsid w:val="00CF68DF"/>
    <w:rsid w:val="00CF68F6"/>
    <w:rsid w:val="00CF7636"/>
    <w:rsid w:val="00CF7E91"/>
    <w:rsid w:val="00D00736"/>
    <w:rsid w:val="00D011C0"/>
    <w:rsid w:val="00D01420"/>
    <w:rsid w:val="00D01729"/>
    <w:rsid w:val="00D0172E"/>
    <w:rsid w:val="00D0197D"/>
    <w:rsid w:val="00D01F19"/>
    <w:rsid w:val="00D03144"/>
    <w:rsid w:val="00D035E5"/>
    <w:rsid w:val="00D044CF"/>
    <w:rsid w:val="00D0521D"/>
    <w:rsid w:val="00D05DED"/>
    <w:rsid w:val="00D064D4"/>
    <w:rsid w:val="00D06CA4"/>
    <w:rsid w:val="00D0772B"/>
    <w:rsid w:val="00D1028B"/>
    <w:rsid w:val="00D10ACC"/>
    <w:rsid w:val="00D11C89"/>
    <w:rsid w:val="00D12C7A"/>
    <w:rsid w:val="00D145A9"/>
    <w:rsid w:val="00D14C70"/>
    <w:rsid w:val="00D1644D"/>
    <w:rsid w:val="00D16547"/>
    <w:rsid w:val="00D16C52"/>
    <w:rsid w:val="00D20540"/>
    <w:rsid w:val="00D20887"/>
    <w:rsid w:val="00D20AC0"/>
    <w:rsid w:val="00D20CCC"/>
    <w:rsid w:val="00D214DE"/>
    <w:rsid w:val="00D22060"/>
    <w:rsid w:val="00D227C0"/>
    <w:rsid w:val="00D229E4"/>
    <w:rsid w:val="00D22C61"/>
    <w:rsid w:val="00D230D3"/>
    <w:rsid w:val="00D246CA"/>
    <w:rsid w:val="00D25109"/>
    <w:rsid w:val="00D25A31"/>
    <w:rsid w:val="00D25BCB"/>
    <w:rsid w:val="00D26BCF"/>
    <w:rsid w:val="00D30EA9"/>
    <w:rsid w:val="00D311C5"/>
    <w:rsid w:val="00D3210F"/>
    <w:rsid w:val="00D325AD"/>
    <w:rsid w:val="00D32656"/>
    <w:rsid w:val="00D32788"/>
    <w:rsid w:val="00D329ED"/>
    <w:rsid w:val="00D33210"/>
    <w:rsid w:val="00D3343A"/>
    <w:rsid w:val="00D34A40"/>
    <w:rsid w:val="00D35BC3"/>
    <w:rsid w:val="00D362F5"/>
    <w:rsid w:val="00D364A2"/>
    <w:rsid w:val="00D365D0"/>
    <w:rsid w:val="00D367DB"/>
    <w:rsid w:val="00D36CF6"/>
    <w:rsid w:val="00D3753D"/>
    <w:rsid w:val="00D376FB"/>
    <w:rsid w:val="00D40012"/>
    <w:rsid w:val="00D40822"/>
    <w:rsid w:val="00D41257"/>
    <w:rsid w:val="00D41B50"/>
    <w:rsid w:val="00D42A7E"/>
    <w:rsid w:val="00D4384A"/>
    <w:rsid w:val="00D43CFB"/>
    <w:rsid w:val="00D441B6"/>
    <w:rsid w:val="00D44FE1"/>
    <w:rsid w:val="00D45B19"/>
    <w:rsid w:val="00D45E36"/>
    <w:rsid w:val="00D462B8"/>
    <w:rsid w:val="00D501C0"/>
    <w:rsid w:val="00D50B84"/>
    <w:rsid w:val="00D51799"/>
    <w:rsid w:val="00D51B88"/>
    <w:rsid w:val="00D5242B"/>
    <w:rsid w:val="00D5245E"/>
    <w:rsid w:val="00D52F0A"/>
    <w:rsid w:val="00D535B2"/>
    <w:rsid w:val="00D53D20"/>
    <w:rsid w:val="00D550C0"/>
    <w:rsid w:val="00D55D99"/>
    <w:rsid w:val="00D55F9B"/>
    <w:rsid w:val="00D561CD"/>
    <w:rsid w:val="00D60CAD"/>
    <w:rsid w:val="00D60F29"/>
    <w:rsid w:val="00D61251"/>
    <w:rsid w:val="00D6136D"/>
    <w:rsid w:val="00D61B0B"/>
    <w:rsid w:val="00D62451"/>
    <w:rsid w:val="00D624E7"/>
    <w:rsid w:val="00D62C45"/>
    <w:rsid w:val="00D6400E"/>
    <w:rsid w:val="00D64152"/>
    <w:rsid w:val="00D64316"/>
    <w:rsid w:val="00D64D57"/>
    <w:rsid w:val="00D64E81"/>
    <w:rsid w:val="00D64EA4"/>
    <w:rsid w:val="00D64F62"/>
    <w:rsid w:val="00D65305"/>
    <w:rsid w:val="00D653A1"/>
    <w:rsid w:val="00D662EF"/>
    <w:rsid w:val="00D67FE3"/>
    <w:rsid w:val="00D707EC"/>
    <w:rsid w:val="00D7099E"/>
    <w:rsid w:val="00D709FE"/>
    <w:rsid w:val="00D70BAC"/>
    <w:rsid w:val="00D71410"/>
    <w:rsid w:val="00D7183A"/>
    <w:rsid w:val="00D726CA"/>
    <w:rsid w:val="00D738F3"/>
    <w:rsid w:val="00D742BE"/>
    <w:rsid w:val="00D74C55"/>
    <w:rsid w:val="00D7503E"/>
    <w:rsid w:val="00D7617B"/>
    <w:rsid w:val="00D761DA"/>
    <w:rsid w:val="00D76C15"/>
    <w:rsid w:val="00D77C42"/>
    <w:rsid w:val="00D822BD"/>
    <w:rsid w:val="00D824D5"/>
    <w:rsid w:val="00D83066"/>
    <w:rsid w:val="00D8350A"/>
    <w:rsid w:val="00D836C5"/>
    <w:rsid w:val="00D83928"/>
    <w:rsid w:val="00D83E01"/>
    <w:rsid w:val="00D84A5B"/>
    <w:rsid w:val="00D85056"/>
    <w:rsid w:val="00D85B41"/>
    <w:rsid w:val="00D85D98"/>
    <w:rsid w:val="00D85E1A"/>
    <w:rsid w:val="00D865AD"/>
    <w:rsid w:val="00D86B58"/>
    <w:rsid w:val="00D87EBA"/>
    <w:rsid w:val="00D90922"/>
    <w:rsid w:val="00D90C07"/>
    <w:rsid w:val="00D919A8"/>
    <w:rsid w:val="00D91C6A"/>
    <w:rsid w:val="00D92825"/>
    <w:rsid w:val="00D937A9"/>
    <w:rsid w:val="00D93B75"/>
    <w:rsid w:val="00D94D87"/>
    <w:rsid w:val="00D94EC6"/>
    <w:rsid w:val="00D94FAA"/>
    <w:rsid w:val="00D95348"/>
    <w:rsid w:val="00D95B4C"/>
    <w:rsid w:val="00D964AD"/>
    <w:rsid w:val="00D96C1F"/>
    <w:rsid w:val="00D970B3"/>
    <w:rsid w:val="00D97BAA"/>
    <w:rsid w:val="00D97EDE"/>
    <w:rsid w:val="00DA01B2"/>
    <w:rsid w:val="00DA01E0"/>
    <w:rsid w:val="00DA1A63"/>
    <w:rsid w:val="00DA1EA4"/>
    <w:rsid w:val="00DA1F91"/>
    <w:rsid w:val="00DA3D56"/>
    <w:rsid w:val="00DA3EB5"/>
    <w:rsid w:val="00DA40F3"/>
    <w:rsid w:val="00DA5BE5"/>
    <w:rsid w:val="00DA6C41"/>
    <w:rsid w:val="00DA70D6"/>
    <w:rsid w:val="00DA7F10"/>
    <w:rsid w:val="00DB015F"/>
    <w:rsid w:val="00DB12F6"/>
    <w:rsid w:val="00DB1864"/>
    <w:rsid w:val="00DB1FE4"/>
    <w:rsid w:val="00DB247B"/>
    <w:rsid w:val="00DB28FE"/>
    <w:rsid w:val="00DB2EEE"/>
    <w:rsid w:val="00DB39A0"/>
    <w:rsid w:val="00DB3D01"/>
    <w:rsid w:val="00DB5188"/>
    <w:rsid w:val="00DB588B"/>
    <w:rsid w:val="00DB5AA2"/>
    <w:rsid w:val="00DB5C50"/>
    <w:rsid w:val="00DB646A"/>
    <w:rsid w:val="00DB684A"/>
    <w:rsid w:val="00DB7D16"/>
    <w:rsid w:val="00DC021C"/>
    <w:rsid w:val="00DC09F8"/>
    <w:rsid w:val="00DC1449"/>
    <w:rsid w:val="00DC31AB"/>
    <w:rsid w:val="00DC3472"/>
    <w:rsid w:val="00DC3592"/>
    <w:rsid w:val="00DC37F6"/>
    <w:rsid w:val="00DC3943"/>
    <w:rsid w:val="00DC44DE"/>
    <w:rsid w:val="00DC47B3"/>
    <w:rsid w:val="00DC5C13"/>
    <w:rsid w:val="00DC5E9A"/>
    <w:rsid w:val="00DC5F47"/>
    <w:rsid w:val="00DC5F76"/>
    <w:rsid w:val="00DC71D6"/>
    <w:rsid w:val="00DC7A76"/>
    <w:rsid w:val="00DC7A7A"/>
    <w:rsid w:val="00DD1A65"/>
    <w:rsid w:val="00DD1D06"/>
    <w:rsid w:val="00DD271E"/>
    <w:rsid w:val="00DD37A5"/>
    <w:rsid w:val="00DD3823"/>
    <w:rsid w:val="00DD4973"/>
    <w:rsid w:val="00DD4BBC"/>
    <w:rsid w:val="00DD4D0D"/>
    <w:rsid w:val="00DD5662"/>
    <w:rsid w:val="00DD7656"/>
    <w:rsid w:val="00DD766F"/>
    <w:rsid w:val="00DD7881"/>
    <w:rsid w:val="00DE12A2"/>
    <w:rsid w:val="00DE1DAB"/>
    <w:rsid w:val="00DE326D"/>
    <w:rsid w:val="00DE353F"/>
    <w:rsid w:val="00DE3E77"/>
    <w:rsid w:val="00DE47F8"/>
    <w:rsid w:val="00DE58D9"/>
    <w:rsid w:val="00DE5989"/>
    <w:rsid w:val="00DE5D22"/>
    <w:rsid w:val="00DE672A"/>
    <w:rsid w:val="00DE6B2C"/>
    <w:rsid w:val="00DE6E56"/>
    <w:rsid w:val="00DE6F8D"/>
    <w:rsid w:val="00DE7130"/>
    <w:rsid w:val="00DE77C4"/>
    <w:rsid w:val="00DE782F"/>
    <w:rsid w:val="00DF04FA"/>
    <w:rsid w:val="00DF05D2"/>
    <w:rsid w:val="00DF1998"/>
    <w:rsid w:val="00DF35CE"/>
    <w:rsid w:val="00DF3B64"/>
    <w:rsid w:val="00DF40A0"/>
    <w:rsid w:val="00DF40B3"/>
    <w:rsid w:val="00DF4486"/>
    <w:rsid w:val="00DF5015"/>
    <w:rsid w:val="00DF782A"/>
    <w:rsid w:val="00DF7B1D"/>
    <w:rsid w:val="00DF7E30"/>
    <w:rsid w:val="00DF7EAB"/>
    <w:rsid w:val="00DF7FBE"/>
    <w:rsid w:val="00E004B0"/>
    <w:rsid w:val="00E008A0"/>
    <w:rsid w:val="00E00EAF"/>
    <w:rsid w:val="00E01FDE"/>
    <w:rsid w:val="00E022B5"/>
    <w:rsid w:val="00E02779"/>
    <w:rsid w:val="00E02878"/>
    <w:rsid w:val="00E04616"/>
    <w:rsid w:val="00E0468A"/>
    <w:rsid w:val="00E0489C"/>
    <w:rsid w:val="00E051EB"/>
    <w:rsid w:val="00E0545D"/>
    <w:rsid w:val="00E05A0B"/>
    <w:rsid w:val="00E05AC1"/>
    <w:rsid w:val="00E05CC9"/>
    <w:rsid w:val="00E05DB9"/>
    <w:rsid w:val="00E064EB"/>
    <w:rsid w:val="00E0673B"/>
    <w:rsid w:val="00E06CE7"/>
    <w:rsid w:val="00E10269"/>
    <w:rsid w:val="00E103A4"/>
    <w:rsid w:val="00E10CBC"/>
    <w:rsid w:val="00E115F9"/>
    <w:rsid w:val="00E1195F"/>
    <w:rsid w:val="00E11DEB"/>
    <w:rsid w:val="00E11E7A"/>
    <w:rsid w:val="00E121D0"/>
    <w:rsid w:val="00E125D4"/>
    <w:rsid w:val="00E13770"/>
    <w:rsid w:val="00E137B3"/>
    <w:rsid w:val="00E14891"/>
    <w:rsid w:val="00E1490A"/>
    <w:rsid w:val="00E15312"/>
    <w:rsid w:val="00E16EE2"/>
    <w:rsid w:val="00E17550"/>
    <w:rsid w:val="00E20D16"/>
    <w:rsid w:val="00E22017"/>
    <w:rsid w:val="00E23CD8"/>
    <w:rsid w:val="00E240F6"/>
    <w:rsid w:val="00E24A31"/>
    <w:rsid w:val="00E26411"/>
    <w:rsid w:val="00E27959"/>
    <w:rsid w:val="00E27DA7"/>
    <w:rsid w:val="00E31698"/>
    <w:rsid w:val="00E31896"/>
    <w:rsid w:val="00E32F14"/>
    <w:rsid w:val="00E33B18"/>
    <w:rsid w:val="00E33DAB"/>
    <w:rsid w:val="00E34167"/>
    <w:rsid w:val="00E34337"/>
    <w:rsid w:val="00E34406"/>
    <w:rsid w:val="00E3460D"/>
    <w:rsid w:val="00E3763C"/>
    <w:rsid w:val="00E4160D"/>
    <w:rsid w:val="00E416DB"/>
    <w:rsid w:val="00E41C18"/>
    <w:rsid w:val="00E429DF"/>
    <w:rsid w:val="00E445C1"/>
    <w:rsid w:val="00E445E6"/>
    <w:rsid w:val="00E44927"/>
    <w:rsid w:val="00E45556"/>
    <w:rsid w:val="00E467C9"/>
    <w:rsid w:val="00E46B91"/>
    <w:rsid w:val="00E46E0C"/>
    <w:rsid w:val="00E4709D"/>
    <w:rsid w:val="00E47439"/>
    <w:rsid w:val="00E4748F"/>
    <w:rsid w:val="00E50A24"/>
    <w:rsid w:val="00E50AA4"/>
    <w:rsid w:val="00E51101"/>
    <w:rsid w:val="00E511CD"/>
    <w:rsid w:val="00E51956"/>
    <w:rsid w:val="00E54E58"/>
    <w:rsid w:val="00E563C7"/>
    <w:rsid w:val="00E564BB"/>
    <w:rsid w:val="00E56504"/>
    <w:rsid w:val="00E56661"/>
    <w:rsid w:val="00E568E9"/>
    <w:rsid w:val="00E56D6A"/>
    <w:rsid w:val="00E571E1"/>
    <w:rsid w:val="00E5756C"/>
    <w:rsid w:val="00E600D5"/>
    <w:rsid w:val="00E60379"/>
    <w:rsid w:val="00E6038E"/>
    <w:rsid w:val="00E6105F"/>
    <w:rsid w:val="00E61339"/>
    <w:rsid w:val="00E613C7"/>
    <w:rsid w:val="00E615EB"/>
    <w:rsid w:val="00E61DCD"/>
    <w:rsid w:val="00E61E1C"/>
    <w:rsid w:val="00E62324"/>
    <w:rsid w:val="00E63336"/>
    <w:rsid w:val="00E64A04"/>
    <w:rsid w:val="00E64AFE"/>
    <w:rsid w:val="00E657E0"/>
    <w:rsid w:val="00E6585F"/>
    <w:rsid w:val="00E665D4"/>
    <w:rsid w:val="00E66A5E"/>
    <w:rsid w:val="00E67697"/>
    <w:rsid w:val="00E70887"/>
    <w:rsid w:val="00E70C21"/>
    <w:rsid w:val="00E71787"/>
    <w:rsid w:val="00E71854"/>
    <w:rsid w:val="00E71A8D"/>
    <w:rsid w:val="00E72C83"/>
    <w:rsid w:val="00E73379"/>
    <w:rsid w:val="00E7356D"/>
    <w:rsid w:val="00E7445B"/>
    <w:rsid w:val="00E74508"/>
    <w:rsid w:val="00E7460A"/>
    <w:rsid w:val="00E74A17"/>
    <w:rsid w:val="00E74B9A"/>
    <w:rsid w:val="00E765EA"/>
    <w:rsid w:val="00E779AE"/>
    <w:rsid w:val="00E801F3"/>
    <w:rsid w:val="00E8339D"/>
    <w:rsid w:val="00E836F9"/>
    <w:rsid w:val="00E83ED0"/>
    <w:rsid w:val="00E84ACC"/>
    <w:rsid w:val="00E84D7B"/>
    <w:rsid w:val="00E854D0"/>
    <w:rsid w:val="00E86198"/>
    <w:rsid w:val="00E8671C"/>
    <w:rsid w:val="00E86809"/>
    <w:rsid w:val="00E8708D"/>
    <w:rsid w:val="00E87129"/>
    <w:rsid w:val="00E903C0"/>
    <w:rsid w:val="00E9056A"/>
    <w:rsid w:val="00E9097E"/>
    <w:rsid w:val="00E90CB7"/>
    <w:rsid w:val="00E91127"/>
    <w:rsid w:val="00E91564"/>
    <w:rsid w:val="00E91A59"/>
    <w:rsid w:val="00E92E98"/>
    <w:rsid w:val="00E93013"/>
    <w:rsid w:val="00E93E36"/>
    <w:rsid w:val="00E94D86"/>
    <w:rsid w:val="00E95903"/>
    <w:rsid w:val="00E9599D"/>
    <w:rsid w:val="00E963D2"/>
    <w:rsid w:val="00E9719A"/>
    <w:rsid w:val="00E973DF"/>
    <w:rsid w:val="00E9780A"/>
    <w:rsid w:val="00EA030D"/>
    <w:rsid w:val="00EA0424"/>
    <w:rsid w:val="00EA1C69"/>
    <w:rsid w:val="00EA2971"/>
    <w:rsid w:val="00EA2C33"/>
    <w:rsid w:val="00EA3515"/>
    <w:rsid w:val="00EA54EE"/>
    <w:rsid w:val="00EA5C95"/>
    <w:rsid w:val="00EA64A0"/>
    <w:rsid w:val="00EA6D64"/>
    <w:rsid w:val="00EA79F8"/>
    <w:rsid w:val="00EB1648"/>
    <w:rsid w:val="00EB1B27"/>
    <w:rsid w:val="00EB2736"/>
    <w:rsid w:val="00EB29CF"/>
    <w:rsid w:val="00EB3408"/>
    <w:rsid w:val="00EB3F2D"/>
    <w:rsid w:val="00EB3F63"/>
    <w:rsid w:val="00EB4492"/>
    <w:rsid w:val="00EB4E9C"/>
    <w:rsid w:val="00EB5229"/>
    <w:rsid w:val="00EB6012"/>
    <w:rsid w:val="00EB62F0"/>
    <w:rsid w:val="00EB6876"/>
    <w:rsid w:val="00EB7080"/>
    <w:rsid w:val="00EC03CA"/>
    <w:rsid w:val="00EC1F39"/>
    <w:rsid w:val="00EC23C7"/>
    <w:rsid w:val="00EC31F3"/>
    <w:rsid w:val="00EC39BA"/>
    <w:rsid w:val="00EC3F37"/>
    <w:rsid w:val="00EC5E34"/>
    <w:rsid w:val="00EC6F4A"/>
    <w:rsid w:val="00EC70B3"/>
    <w:rsid w:val="00EC7DE4"/>
    <w:rsid w:val="00ED005A"/>
    <w:rsid w:val="00ED0725"/>
    <w:rsid w:val="00ED0D9F"/>
    <w:rsid w:val="00ED170C"/>
    <w:rsid w:val="00ED2ABF"/>
    <w:rsid w:val="00ED2C33"/>
    <w:rsid w:val="00ED3168"/>
    <w:rsid w:val="00ED3EB8"/>
    <w:rsid w:val="00ED4F1A"/>
    <w:rsid w:val="00ED522F"/>
    <w:rsid w:val="00ED55AF"/>
    <w:rsid w:val="00ED5ACB"/>
    <w:rsid w:val="00ED6816"/>
    <w:rsid w:val="00ED694E"/>
    <w:rsid w:val="00ED7041"/>
    <w:rsid w:val="00EE0541"/>
    <w:rsid w:val="00EE0A64"/>
    <w:rsid w:val="00EE11BE"/>
    <w:rsid w:val="00EE15BA"/>
    <w:rsid w:val="00EE2E30"/>
    <w:rsid w:val="00EE3511"/>
    <w:rsid w:val="00EE4115"/>
    <w:rsid w:val="00EE42DB"/>
    <w:rsid w:val="00EE5023"/>
    <w:rsid w:val="00EE62B0"/>
    <w:rsid w:val="00EE62B6"/>
    <w:rsid w:val="00EE700F"/>
    <w:rsid w:val="00EF016B"/>
    <w:rsid w:val="00EF0435"/>
    <w:rsid w:val="00EF05DB"/>
    <w:rsid w:val="00EF0699"/>
    <w:rsid w:val="00EF0A94"/>
    <w:rsid w:val="00EF0AD3"/>
    <w:rsid w:val="00EF13F2"/>
    <w:rsid w:val="00EF19D3"/>
    <w:rsid w:val="00EF1AA5"/>
    <w:rsid w:val="00EF2973"/>
    <w:rsid w:val="00EF29E2"/>
    <w:rsid w:val="00EF3359"/>
    <w:rsid w:val="00EF3DD7"/>
    <w:rsid w:val="00EF4259"/>
    <w:rsid w:val="00EF4A67"/>
    <w:rsid w:val="00EF524E"/>
    <w:rsid w:val="00EF5660"/>
    <w:rsid w:val="00EF5C6E"/>
    <w:rsid w:val="00EF5F52"/>
    <w:rsid w:val="00EF6DD7"/>
    <w:rsid w:val="00EF78AE"/>
    <w:rsid w:val="00EF7BE6"/>
    <w:rsid w:val="00F00199"/>
    <w:rsid w:val="00F009FC"/>
    <w:rsid w:val="00F00C0A"/>
    <w:rsid w:val="00F00F2E"/>
    <w:rsid w:val="00F0203F"/>
    <w:rsid w:val="00F02484"/>
    <w:rsid w:val="00F02A31"/>
    <w:rsid w:val="00F03FBB"/>
    <w:rsid w:val="00F045D4"/>
    <w:rsid w:val="00F050F3"/>
    <w:rsid w:val="00F05B11"/>
    <w:rsid w:val="00F05BAF"/>
    <w:rsid w:val="00F05C8C"/>
    <w:rsid w:val="00F06698"/>
    <w:rsid w:val="00F06870"/>
    <w:rsid w:val="00F1078C"/>
    <w:rsid w:val="00F10D30"/>
    <w:rsid w:val="00F10D5C"/>
    <w:rsid w:val="00F11CCA"/>
    <w:rsid w:val="00F135AE"/>
    <w:rsid w:val="00F1533C"/>
    <w:rsid w:val="00F15375"/>
    <w:rsid w:val="00F161B2"/>
    <w:rsid w:val="00F16BB6"/>
    <w:rsid w:val="00F16F0C"/>
    <w:rsid w:val="00F17956"/>
    <w:rsid w:val="00F17AF2"/>
    <w:rsid w:val="00F17CFA"/>
    <w:rsid w:val="00F17ED0"/>
    <w:rsid w:val="00F2056F"/>
    <w:rsid w:val="00F21B64"/>
    <w:rsid w:val="00F229A1"/>
    <w:rsid w:val="00F22FA3"/>
    <w:rsid w:val="00F2347C"/>
    <w:rsid w:val="00F2357F"/>
    <w:rsid w:val="00F23F80"/>
    <w:rsid w:val="00F24880"/>
    <w:rsid w:val="00F2602F"/>
    <w:rsid w:val="00F26ABC"/>
    <w:rsid w:val="00F30B28"/>
    <w:rsid w:val="00F30D65"/>
    <w:rsid w:val="00F31A0B"/>
    <w:rsid w:val="00F321D0"/>
    <w:rsid w:val="00F32F0C"/>
    <w:rsid w:val="00F334B3"/>
    <w:rsid w:val="00F3435F"/>
    <w:rsid w:val="00F34E3E"/>
    <w:rsid w:val="00F35A4B"/>
    <w:rsid w:val="00F36BE8"/>
    <w:rsid w:val="00F3725D"/>
    <w:rsid w:val="00F37397"/>
    <w:rsid w:val="00F37F20"/>
    <w:rsid w:val="00F403F7"/>
    <w:rsid w:val="00F408E1"/>
    <w:rsid w:val="00F40CDE"/>
    <w:rsid w:val="00F4297B"/>
    <w:rsid w:val="00F42ACA"/>
    <w:rsid w:val="00F43D8B"/>
    <w:rsid w:val="00F45122"/>
    <w:rsid w:val="00F4541D"/>
    <w:rsid w:val="00F458FF"/>
    <w:rsid w:val="00F45AED"/>
    <w:rsid w:val="00F45C27"/>
    <w:rsid w:val="00F464EE"/>
    <w:rsid w:val="00F469C4"/>
    <w:rsid w:val="00F46B38"/>
    <w:rsid w:val="00F50FF0"/>
    <w:rsid w:val="00F5162C"/>
    <w:rsid w:val="00F519D5"/>
    <w:rsid w:val="00F51C31"/>
    <w:rsid w:val="00F521E3"/>
    <w:rsid w:val="00F527DF"/>
    <w:rsid w:val="00F52996"/>
    <w:rsid w:val="00F53AE3"/>
    <w:rsid w:val="00F5423F"/>
    <w:rsid w:val="00F545FA"/>
    <w:rsid w:val="00F54FD4"/>
    <w:rsid w:val="00F55449"/>
    <w:rsid w:val="00F554FF"/>
    <w:rsid w:val="00F56B98"/>
    <w:rsid w:val="00F56B9E"/>
    <w:rsid w:val="00F57150"/>
    <w:rsid w:val="00F57CAE"/>
    <w:rsid w:val="00F57CFF"/>
    <w:rsid w:val="00F60121"/>
    <w:rsid w:val="00F60653"/>
    <w:rsid w:val="00F60991"/>
    <w:rsid w:val="00F6157B"/>
    <w:rsid w:val="00F61C7E"/>
    <w:rsid w:val="00F621D0"/>
    <w:rsid w:val="00F62472"/>
    <w:rsid w:val="00F625A1"/>
    <w:rsid w:val="00F62984"/>
    <w:rsid w:val="00F6371A"/>
    <w:rsid w:val="00F643DC"/>
    <w:rsid w:val="00F64A8E"/>
    <w:rsid w:val="00F6509D"/>
    <w:rsid w:val="00F66E23"/>
    <w:rsid w:val="00F67157"/>
    <w:rsid w:val="00F67FD1"/>
    <w:rsid w:val="00F7012F"/>
    <w:rsid w:val="00F701FC"/>
    <w:rsid w:val="00F703DF"/>
    <w:rsid w:val="00F704D8"/>
    <w:rsid w:val="00F70C70"/>
    <w:rsid w:val="00F71254"/>
    <w:rsid w:val="00F718D4"/>
    <w:rsid w:val="00F740AA"/>
    <w:rsid w:val="00F74183"/>
    <w:rsid w:val="00F74A08"/>
    <w:rsid w:val="00F74BD4"/>
    <w:rsid w:val="00F7596C"/>
    <w:rsid w:val="00F7617F"/>
    <w:rsid w:val="00F77A37"/>
    <w:rsid w:val="00F80431"/>
    <w:rsid w:val="00F807C2"/>
    <w:rsid w:val="00F8099B"/>
    <w:rsid w:val="00F80B3A"/>
    <w:rsid w:val="00F80E4A"/>
    <w:rsid w:val="00F81380"/>
    <w:rsid w:val="00F81855"/>
    <w:rsid w:val="00F818CC"/>
    <w:rsid w:val="00F836AE"/>
    <w:rsid w:val="00F83A65"/>
    <w:rsid w:val="00F846E6"/>
    <w:rsid w:val="00F8496D"/>
    <w:rsid w:val="00F84AFF"/>
    <w:rsid w:val="00F85079"/>
    <w:rsid w:val="00F86939"/>
    <w:rsid w:val="00F86B4F"/>
    <w:rsid w:val="00F8722A"/>
    <w:rsid w:val="00F876BF"/>
    <w:rsid w:val="00F878D2"/>
    <w:rsid w:val="00F87FC2"/>
    <w:rsid w:val="00F903E7"/>
    <w:rsid w:val="00F92994"/>
    <w:rsid w:val="00F93152"/>
    <w:rsid w:val="00F93C86"/>
    <w:rsid w:val="00F95156"/>
    <w:rsid w:val="00F96004"/>
    <w:rsid w:val="00FA024A"/>
    <w:rsid w:val="00FA099A"/>
    <w:rsid w:val="00FA1591"/>
    <w:rsid w:val="00FA17BA"/>
    <w:rsid w:val="00FA2768"/>
    <w:rsid w:val="00FA2A12"/>
    <w:rsid w:val="00FA2E98"/>
    <w:rsid w:val="00FA3390"/>
    <w:rsid w:val="00FA34EA"/>
    <w:rsid w:val="00FA3F5F"/>
    <w:rsid w:val="00FA677F"/>
    <w:rsid w:val="00FA7B4C"/>
    <w:rsid w:val="00FA7DE1"/>
    <w:rsid w:val="00FA7E6E"/>
    <w:rsid w:val="00FB020B"/>
    <w:rsid w:val="00FB0292"/>
    <w:rsid w:val="00FB130E"/>
    <w:rsid w:val="00FB145B"/>
    <w:rsid w:val="00FB1AE3"/>
    <w:rsid w:val="00FB1B48"/>
    <w:rsid w:val="00FB2B57"/>
    <w:rsid w:val="00FB2B74"/>
    <w:rsid w:val="00FB2D8B"/>
    <w:rsid w:val="00FB33D3"/>
    <w:rsid w:val="00FB38FF"/>
    <w:rsid w:val="00FB4E76"/>
    <w:rsid w:val="00FB561F"/>
    <w:rsid w:val="00FB5C4B"/>
    <w:rsid w:val="00FB60E1"/>
    <w:rsid w:val="00FB62D5"/>
    <w:rsid w:val="00FB656E"/>
    <w:rsid w:val="00FB71C0"/>
    <w:rsid w:val="00FB7252"/>
    <w:rsid w:val="00FC0293"/>
    <w:rsid w:val="00FC0829"/>
    <w:rsid w:val="00FC10E7"/>
    <w:rsid w:val="00FC1C61"/>
    <w:rsid w:val="00FC21CF"/>
    <w:rsid w:val="00FC2A08"/>
    <w:rsid w:val="00FC2E2B"/>
    <w:rsid w:val="00FC3101"/>
    <w:rsid w:val="00FC3861"/>
    <w:rsid w:val="00FC43C7"/>
    <w:rsid w:val="00FC4A33"/>
    <w:rsid w:val="00FC5832"/>
    <w:rsid w:val="00FC611F"/>
    <w:rsid w:val="00FC66F1"/>
    <w:rsid w:val="00FC71A0"/>
    <w:rsid w:val="00FC7E49"/>
    <w:rsid w:val="00FC7E9D"/>
    <w:rsid w:val="00FD0368"/>
    <w:rsid w:val="00FD059F"/>
    <w:rsid w:val="00FD0709"/>
    <w:rsid w:val="00FD106E"/>
    <w:rsid w:val="00FD2088"/>
    <w:rsid w:val="00FD2D20"/>
    <w:rsid w:val="00FD2ECA"/>
    <w:rsid w:val="00FD3BE4"/>
    <w:rsid w:val="00FD5200"/>
    <w:rsid w:val="00FD5828"/>
    <w:rsid w:val="00FD6115"/>
    <w:rsid w:val="00FD613C"/>
    <w:rsid w:val="00FD6242"/>
    <w:rsid w:val="00FD64C6"/>
    <w:rsid w:val="00FE0816"/>
    <w:rsid w:val="00FE1E75"/>
    <w:rsid w:val="00FE28D9"/>
    <w:rsid w:val="00FE29C6"/>
    <w:rsid w:val="00FE29E5"/>
    <w:rsid w:val="00FE3797"/>
    <w:rsid w:val="00FE3888"/>
    <w:rsid w:val="00FE4024"/>
    <w:rsid w:val="00FE4F03"/>
    <w:rsid w:val="00FE679C"/>
    <w:rsid w:val="00FE7276"/>
    <w:rsid w:val="00FE759F"/>
    <w:rsid w:val="00FF0C41"/>
    <w:rsid w:val="00FF0DE9"/>
    <w:rsid w:val="00FF1E17"/>
    <w:rsid w:val="00FF3407"/>
    <w:rsid w:val="00FF3C84"/>
    <w:rsid w:val="00FF3EAF"/>
    <w:rsid w:val="00FF5242"/>
    <w:rsid w:val="00FF5D8D"/>
    <w:rsid w:val="00FF63FD"/>
    <w:rsid w:val="00FF6981"/>
    <w:rsid w:val="00FF75AE"/>
    <w:rsid w:val="00FF7A46"/>
    <w:rsid w:val="00FF7DE0"/>
    <w:rsid w:val="011B6997"/>
    <w:rsid w:val="01401F5A"/>
    <w:rsid w:val="022328D4"/>
    <w:rsid w:val="0316553E"/>
    <w:rsid w:val="03A719B3"/>
    <w:rsid w:val="040D0B9B"/>
    <w:rsid w:val="049D4648"/>
    <w:rsid w:val="050B287F"/>
    <w:rsid w:val="060D7C07"/>
    <w:rsid w:val="077F1302"/>
    <w:rsid w:val="079A613C"/>
    <w:rsid w:val="07B74404"/>
    <w:rsid w:val="0B9A4B88"/>
    <w:rsid w:val="0CB60C95"/>
    <w:rsid w:val="0CFB767D"/>
    <w:rsid w:val="0CFF0F1B"/>
    <w:rsid w:val="0D277644"/>
    <w:rsid w:val="0D8633EB"/>
    <w:rsid w:val="0DA5698B"/>
    <w:rsid w:val="0F783F67"/>
    <w:rsid w:val="0FFC7697"/>
    <w:rsid w:val="10973B61"/>
    <w:rsid w:val="115832F0"/>
    <w:rsid w:val="11A46AD7"/>
    <w:rsid w:val="11FE0A61"/>
    <w:rsid w:val="123553DF"/>
    <w:rsid w:val="12A3059B"/>
    <w:rsid w:val="12AB4F1B"/>
    <w:rsid w:val="13427DB4"/>
    <w:rsid w:val="13497394"/>
    <w:rsid w:val="13793CC7"/>
    <w:rsid w:val="14244083"/>
    <w:rsid w:val="14F90946"/>
    <w:rsid w:val="15383E7C"/>
    <w:rsid w:val="15745EC1"/>
    <w:rsid w:val="1618304E"/>
    <w:rsid w:val="16485A68"/>
    <w:rsid w:val="16AD7C3A"/>
    <w:rsid w:val="16BD76BA"/>
    <w:rsid w:val="18342DF6"/>
    <w:rsid w:val="184E52CB"/>
    <w:rsid w:val="1876528F"/>
    <w:rsid w:val="197B216F"/>
    <w:rsid w:val="19CE222A"/>
    <w:rsid w:val="1A236B09"/>
    <w:rsid w:val="1CC81239"/>
    <w:rsid w:val="1CE43C8A"/>
    <w:rsid w:val="1D7F1613"/>
    <w:rsid w:val="1DDB32DF"/>
    <w:rsid w:val="1E4946EC"/>
    <w:rsid w:val="1E8623DD"/>
    <w:rsid w:val="1F3B19F7"/>
    <w:rsid w:val="1F430A42"/>
    <w:rsid w:val="1FD4052B"/>
    <w:rsid w:val="1FEF4E1F"/>
    <w:rsid w:val="20A07AEE"/>
    <w:rsid w:val="21BF681C"/>
    <w:rsid w:val="21ED369F"/>
    <w:rsid w:val="227669A1"/>
    <w:rsid w:val="23730B26"/>
    <w:rsid w:val="23A31C0E"/>
    <w:rsid w:val="242552B4"/>
    <w:rsid w:val="24292128"/>
    <w:rsid w:val="244A2F6C"/>
    <w:rsid w:val="25D21E5C"/>
    <w:rsid w:val="264352CB"/>
    <w:rsid w:val="266E4DA8"/>
    <w:rsid w:val="26F16A3A"/>
    <w:rsid w:val="27223D2C"/>
    <w:rsid w:val="27520825"/>
    <w:rsid w:val="27A6670B"/>
    <w:rsid w:val="284D4DD9"/>
    <w:rsid w:val="28C23D26"/>
    <w:rsid w:val="28CF569F"/>
    <w:rsid w:val="2A257690"/>
    <w:rsid w:val="2A262DDF"/>
    <w:rsid w:val="2A391AB9"/>
    <w:rsid w:val="2B282019"/>
    <w:rsid w:val="2B676628"/>
    <w:rsid w:val="2C0952B5"/>
    <w:rsid w:val="2C627897"/>
    <w:rsid w:val="2D393649"/>
    <w:rsid w:val="2D8C42FF"/>
    <w:rsid w:val="2DF00258"/>
    <w:rsid w:val="30B53EB0"/>
    <w:rsid w:val="31FF36EC"/>
    <w:rsid w:val="3290534A"/>
    <w:rsid w:val="329C2DE3"/>
    <w:rsid w:val="32EA372C"/>
    <w:rsid w:val="3361379C"/>
    <w:rsid w:val="33E149EA"/>
    <w:rsid w:val="34B306BA"/>
    <w:rsid w:val="34DD6F81"/>
    <w:rsid w:val="358E288A"/>
    <w:rsid w:val="35BD3B0D"/>
    <w:rsid w:val="36773A37"/>
    <w:rsid w:val="36877708"/>
    <w:rsid w:val="36976112"/>
    <w:rsid w:val="36C95F72"/>
    <w:rsid w:val="377759CE"/>
    <w:rsid w:val="37C44094"/>
    <w:rsid w:val="382947EF"/>
    <w:rsid w:val="38753CC7"/>
    <w:rsid w:val="38A073B4"/>
    <w:rsid w:val="38A85637"/>
    <w:rsid w:val="38DD1264"/>
    <w:rsid w:val="3947495F"/>
    <w:rsid w:val="39AE0D86"/>
    <w:rsid w:val="3B142078"/>
    <w:rsid w:val="3B3B4F65"/>
    <w:rsid w:val="3BCE3934"/>
    <w:rsid w:val="3BD038FF"/>
    <w:rsid w:val="3C1F03E3"/>
    <w:rsid w:val="3C3C2D43"/>
    <w:rsid w:val="3DD100D4"/>
    <w:rsid w:val="3E7964D0"/>
    <w:rsid w:val="3E8D5AD7"/>
    <w:rsid w:val="3F1E2BD3"/>
    <w:rsid w:val="40163EE6"/>
    <w:rsid w:val="40494752"/>
    <w:rsid w:val="412479F7"/>
    <w:rsid w:val="41FB0DD8"/>
    <w:rsid w:val="42365DA8"/>
    <w:rsid w:val="42DB5A94"/>
    <w:rsid w:val="435F7582"/>
    <w:rsid w:val="441920D1"/>
    <w:rsid w:val="44670B79"/>
    <w:rsid w:val="44BD68E4"/>
    <w:rsid w:val="44FF34A7"/>
    <w:rsid w:val="44FF5255"/>
    <w:rsid w:val="451C7BB5"/>
    <w:rsid w:val="45726089"/>
    <w:rsid w:val="463C4AA3"/>
    <w:rsid w:val="46492C2C"/>
    <w:rsid w:val="469B6D6B"/>
    <w:rsid w:val="46EE7DF5"/>
    <w:rsid w:val="4755797C"/>
    <w:rsid w:val="47C562E2"/>
    <w:rsid w:val="485F203A"/>
    <w:rsid w:val="48BB2F1A"/>
    <w:rsid w:val="493556E9"/>
    <w:rsid w:val="49784876"/>
    <w:rsid w:val="4A4A6F73"/>
    <w:rsid w:val="4A5A6FDF"/>
    <w:rsid w:val="4AA85A47"/>
    <w:rsid w:val="4ABF0B0F"/>
    <w:rsid w:val="4AEE156C"/>
    <w:rsid w:val="4B0B4954"/>
    <w:rsid w:val="4BC5385B"/>
    <w:rsid w:val="4C2548E4"/>
    <w:rsid w:val="4C98387D"/>
    <w:rsid w:val="4CDF7E46"/>
    <w:rsid w:val="4DAD2D40"/>
    <w:rsid w:val="4EA604F0"/>
    <w:rsid w:val="4EDA2F0D"/>
    <w:rsid w:val="4F986150"/>
    <w:rsid w:val="50A73E3A"/>
    <w:rsid w:val="51E51E20"/>
    <w:rsid w:val="51ED4DB3"/>
    <w:rsid w:val="5200368B"/>
    <w:rsid w:val="529459FD"/>
    <w:rsid w:val="535F498F"/>
    <w:rsid w:val="54EB6261"/>
    <w:rsid w:val="55774994"/>
    <w:rsid w:val="55EE10FA"/>
    <w:rsid w:val="55FB25A4"/>
    <w:rsid w:val="56261D2F"/>
    <w:rsid w:val="56625644"/>
    <w:rsid w:val="567A473C"/>
    <w:rsid w:val="56E92B20"/>
    <w:rsid w:val="57A557E8"/>
    <w:rsid w:val="583F79EB"/>
    <w:rsid w:val="584B45E2"/>
    <w:rsid w:val="586B56D3"/>
    <w:rsid w:val="58711B6E"/>
    <w:rsid w:val="592B7E0B"/>
    <w:rsid w:val="5930071B"/>
    <w:rsid w:val="59D10B16"/>
    <w:rsid w:val="5A175905"/>
    <w:rsid w:val="5A845EA7"/>
    <w:rsid w:val="5B7800C8"/>
    <w:rsid w:val="5B8C18BC"/>
    <w:rsid w:val="5BDD799E"/>
    <w:rsid w:val="5BE54D4D"/>
    <w:rsid w:val="5C1F1A36"/>
    <w:rsid w:val="5C225659"/>
    <w:rsid w:val="5E897C12"/>
    <w:rsid w:val="5F5E475F"/>
    <w:rsid w:val="60903C99"/>
    <w:rsid w:val="60F577E0"/>
    <w:rsid w:val="6202673D"/>
    <w:rsid w:val="625C563D"/>
    <w:rsid w:val="62BE2037"/>
    <w:rsid w:val="6400652A"/>
    <w:rsid w:val="64590086"/>
    <w:rsid w:val="65770F1B"/>
    <w:rsid w:val="65C43C25"/>
    <w:rsid w:val="669B1402"/>
    <w:rsid w:val="67745F44"/>
    <w:rsid w:val="67EE6D37"/>
    <w:rsid w:val="68455962"/>
    <w:rsid w:val="68F237D1"/>
    <w:rsid w:val="69474460"/>
    <w:rsid w:val="699A6451"/>
    <w:rsid w:val="69AB2202"/>
    <w:rsid w:val="6A303173"/>
    <w:rsid w:val="6A356EA0"/>
    <w:rsid w:val="6A4C120B"/>
    <w:rsid w:val="6AC65E0F"/>
    <w:rsid w:val="6C353187"/>
    <w:rsid w:val="6C54194D"/>
    <w:rsid w:val="6C5D448C"/>
    <w:rsid w:val="6CF40F32"/>
    <w:rsid w:val="6D3A5ACA"/>
    <w:rsid w:val="6DC522E8"/>
    <w:rsid w:val="6E0171B5"/>
    <w:rsid w:val="6E62222D"/>
    <w:rsid w:val="6F040A43"/>
    <w:rsid w:val="6F3D03B5"/>
    <w:rsid w:val="6FE945DD"/>
    <w:rsid w:val="71DC40C7"/>
    <w:rsid w:val="735C3594"/>
    <w:rsid w:val="7375655F"/>
    <w:rsid w:val="74130252"/>
    <w:rsid w:val="745D14CD"/>
    <w:rsid w:val="74827165"/>
    <w:rsid w:val="74A964C0"/>
    <w:rsid w:val="74FA6D1C"/>
    <w:rsid w:val="768D6E7D"/>
    <w:rsid w:val="775674A0"/>
    <w:rsid w:val="776C7C79"/>
    <w:rsid w:val="777E5981"/>
    <w:rsid w:val="78122467"/>
    <w:rsid w:val="793E5D38"/>
    <w:rsid w:val="79A2412E"/>
    <w:rsid w:val="7B046B46"/>
    <w:rsid w:val="7B1E5807"/>
    <w:rsid w:val="7B8E34CC"/>
    <w:rsid w:val="7B963516"/>
    <w:rsid w:val="7E870070"/>
    <w:rsid w:val="7EF46ED2"/>
    <w:rsid w:val="7FD03C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qFormat="1"/>
    <w:lsdException w:name="toc 3" w:semiHidden="0" w:uiPriority="39" w:qFormat="1"/>
    <w:lsdException w:name="toc 4" w:semiHidden="0" w:uiPriority="39" w:qFormat="1"/>
    <w:lsdException w:name="toc 5" w:semiHidden="0" w:uiPriority="39" w:qFormat="1"/>
    <w:lsdException w:name="toc 6" w:semiHidden="0" w:uiPriority="39" w:qFormat="1"/>
    <w:lsdException w:name="toc 7" w:semiHidden="0" w:uiPriority="39" w:qFormat="1"/>
    <w:lsdException w:name="toc 8" w:semiHidden="0" w:uiPriority="39" w:qFormat="1"/>
    <w:lsdException w:name="toc 9" w:semiHidden="0" w:uiPriority="39" w:qFormat="1"/>
    <w:lsdException w:name="Normal Indent" w:semiHidden="0" w:uiPriority="0" w:unhideWhenUsed="0" w:qFormat="1"/>
    <w:lsdException w:name="annotation text" w:semiHidden="0" w:qFormat="1"/>
    <w:lsdException w:name="header" w:semiHidden="0" w:qFormat="1"/>
    <w:lsdException w:name="footer" w:semiHidden="0" w:qFormat="1"/>
    <w:lsdException w:name="caption" w:uiPriority="35" w:qFormat="1"/>
    <w:lsdException w:name="annotation reference" w:qFormat="1"/>
    <w:lsdException w:name="page number" w:semiHidden="0" w:uiPriority="0" w:qFormat="1"/>
    <w:lsdException w:name="Title" w:semiHidden="0" w:uiPriority="10" w:unhideWhenUsed="0" w:qFormat="1"/>
    <w:lsdException w:name="Default Paragraph Font" w:uiPriority="1" w:qFormat="1"/>
    <w:lsdException w:name="Body Text Indent" w:qFormat="1"/>
    <w:lsdException w:name="Subtitle" w:semiHidden="0" w:uiPriority="11" w:unhideWhenUsed="0" w:qFormat="1"/>
    <w:lsdException w:name="Hyperlink" w:semiHidden="0" w:qFormat="1"/>
    <w:lsdException w:name="FollowedHyperlink" w:qFormat="1"/>
    <w:lsdException w:name="Strong" w:semiHidden="0" w:uiPriority="22" w:unhideWhenUsed="0" w:qFormat="1"/>
    <w:lsdException w:name="Emphasis" w:semiHidden="0" w:uiPriority="20" w:unhideWhenUsed="0" w:qFormat="1"/>
    <w:lsdException w:name="Document Map" w:qFormat="1"/>
    <w:lsdException w:name="Normal (Web)" w:semiHidden="0" w:qFormat="1"/>
    <w:lsdException w:name="Normal Table"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Theme="minorHAnsi" w:eastAsiaTheme="minorEastAsia" w:hAnsiTheme="minorHAnsi" w:cstheme="minorBidi"/>
      <w:kern w:val="2"/>
      <w:sz w:val="21"/>
      <w:szCs w:val="22"/>
    </w:rPr>
  </w:style>
  <w:style w:type="paragraph" w:styleId="1">
    <w:name w:val="heading 1"/>
    <w:basedOn w:val="a"/>
    <w:next w:val="a"/>
    <w:link w:val="1Char"/>
    <w:qFormat/>
    <w:pPr>
      <w:keepNext/>
      <w:widowControl/>
      <w:snapToGrid w:val="0"/>
      <w:spacing w:beforeLines="50" w:before="120" w:afterLines="90" w:after="216"/>
      <w:ind w:hanging="420"/>
      <w:jc w:val="both"/>
      <w:outlineLvl w:val="0"/>
    </w:pPr>
    <w:rPr>
      <w:rFonts w:ascii="Arial Narrow" w:eastAsia="仿宋_GB2312" w:hAnsi="Arial Narrow" w:cs="Times New Roman"/>
      <w:b/>
      <w:sz w:val="24"/>
      <w:szCs w:val="24"/>
    </w:rPr>
  </w:style>
  <w:style w:type="paragraph" w:styleId="2">
    <w:name w:val="heading 2"/>
    <w:basedOn w:val="a"/>
    <w:next w:val="a0"/>
    <w:link w:val="2Char"/>
    <w:uiPriority w:val="9"/>
    <w:unhideWhenUsed/>
    <w:qFormat/>
    <w:pPr>
      <w:keepNext/>
      <w:keepLines/>
      <w:spacing w:before="156" w:after="156"/>
      <w:outlineLvl w:val="1"/>
    </w:pPr>
    <w:rPr>
      <w:szCs w:val="21"/>
    </w:rPr>
  </w:style>
  <w:style w:type="paragraph" w:styleId="30">
    <w:name w:val="heading 3"/>
    <w:basedOn w:val="4"/>
    <w:next w:val="a0"/>
    <w:link w:val="3Char"/>
    <w:uiPriority w:val="99"/>
    <w:qFormat/>
    <w:pPr>
      <w:spacing w:before="300" w:after="300" w:line="241" w:lineRule="auto"/>
      <w:jc w:val="both"/>
      <w:outlineLvl w:val="2"/>
    </w:pPr>
    <w:rPr>
      <w:rFonts w:eastAsia="宋体"/>
      <w:szCs w:val="21"/>
    </w:rPr>
  </w:style>
  <w:style w:type="paragraph" w:styleId="4">
    <w:name w:val="heading 4"/>
    <w:basedOn w:val="a"/>
    <w:next w:val="a"/>
    <w:link w:val="4Char"/>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jc w:val="both"/>
    </w:pPr>
    <w:rPr>
      <w:rFonts w:ascii="Times New Roman" w:eastAsia="宋体" w:hAnsi="Times New Roman" w:cs="Times New Roman"/>
      <w:szCs w:val="20"/>
    </w:rPr>
  </w:style>
  <w:style w:type="paragraph" w:styleId="7">
    <w:name w:val="toc 7"/>
    <w:basedOn w:val="a"/>
    <w:next w:val="a"/>
    <w:autoRedefine/>
    <w:uiPriority w:val="39"/>
    <w:unhideWhenUsed/>
    <w:qFormat/>
    <w:pPr>
      <w:ind w:leftChars="1200" w:left="2520"/>
      <w:jc w:val="both"/>
    </w:pPr>
  </w:style>
  <w:style w:type="paragraph" w:styleId="a4">
    <w:name w:val="Document Map"/>
    <w:basedOn w:val="a"/>
    <w:link w:val="Char"/>
    <w:uiPriority w:val="99"/>
    <w:semiHidden/>
    <w:unhideWhenUsed/>
    <w:qFormat/>
    <w:pPr>
      <w:spacing w:before="40" w:after="40"/>
      <w:jc w:val="both"/>
    </w:pPr>
    <w:rPr>
      <w:rFonts w:ascii="宋体" w:eastAsia="宋体" w:hAnsi="Times New Roman" w:cs="Times New Roman"/>
      <w:kern w:val="0"/>
      <w:sz w:val="18"/>
      <w:szCs w:val="18"/>
    </w:rPr>
  </w:style>
  <w:style w:type="paragraph" w:styleId="a5">
    <w:name w:val="annotation text"/>
    <w:basedOn w:val="a"/>
    <w:link w:val="Char0"/>
    <w:uiPriority w:val="99"/>
    <w:unhideWhenUsed/>
    <w:qFormat/>
  </w:style>
  <w:style w:type="paragraph" w:styleId="a6">
    <w:name w:val="Body Text Indent"/>
    <w:basedOn w:val="a"/>
    <w:link w:val="Char1"/>
    <w:uiPriority w:val="99"/>
    <w:semiHidden/>
    <w:unhideWhenUsed/>
    <w:qFormat/>
    <w:pPr>
      <w:spacing w:after="120"/>
      <w:ind w:leftChars="200" w:left="420"/>
    </w:pPr>
  </w:style>
  <w:style w:type="paragraph" w:styleId="5">
    <w:name w:val="toc 5"/>
    <w:basedOn w:val="a"/>
    <w:next w:val="a"/>
    <w:autoRedefine/>
    <w:uiPriority w:val="39"/>
    <w:unhideWhenUsed/>
    <w:qFormat/>
    <w:pPr>
      <w:ind w:leftChars="800" w:left="1680"/>
      <w:jc w:val="both"/>
    </w:pPr>
  </w:style>
  <w:style w:type="paragraph" w:styleId="31">
    <w:name w:val="toc 3"/>
    <w:basedOn w:val="a"/>
    <w:next w:val="a"/>
    <w:autoRedefine/>
    <w:uiPriority w:val="39"/>
    <w:unhideWhenUsed/>
    <w:qFormat/>
    <w:pPr>
      <w:ind w:leftChars="400" w:left="840"/>
      <w:jc w:val="both"/>
    </w:pPr>
  </w:style>
  <w:style w:type="paragraph" w:styleId="8">
    <w:name w:val="toc 8"/>
    <w:basedOn w:val="a"/>
    <w:next w:val="a"/>
    <w:autoRedefine/>
    <w:uiPriority w:val="39"/>
    <w:unhideWhenUsed/>
    <w:qFormat/>
    <w:pPr>
      <w:ind w:leftChars="1400" w:left="2940"/>
      <w:jc w:val="both"/>
    </w:pPr>
  </w:style>
  <w:style w:type="paragraph" w:styleId="a7">
    <w:name w:val="Balloon Text"/>
    <w:basedOn w:val="a"/>
    <w:link w:val="Char2"/>
    <w:uiPriority w:val="99"/>
    <w:semiHidden/>
    <w:unhideWhenUsed/>
    <w:qFormat/>
    <w:rPr>
      <w:sz w:val="18"/>
      <w:szCs w:val="18"/>
    </w:rPr>
  </w:style>
  <w:style w:type="paragraph" w:styleId="a8">
    <w:name w:val="footer"/>
    <w:basedOn w:val="a"/>
    <w:link w:val="Char3"/>
    <w:uiPriority w:val="99"/>
    <w:unhideWhenUsed/>
    <w:qFormat/>
    <w:pPr>
      <w:tabs>
        <w:tab w:val="center" w:pos="4153"/>
        <w:tab w:val="right" w:pos="8306"/>
      </w:tabs>
      <w:snapToGrid w:val="0"/>
    </w:pPr>
    <w:rPr>
      <w:sz w:val="18"/>
      <w:szCs w:val="18"/>
    </w:rPr>
  </w:style>
  <w:style w:type="paragraph" w:styleId="a9">
    <w:name w:val="header"/>
    <w:basedOn w:val="a"/>
    <w:link w:val="Char4"/>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uiPriority w:val="39"/>
    <w:qFormat/>
  </w:style>
  <w:style w:type="paragraph" w:styleId="40">
    <w:name w:val="toc 4"/>
    <w:basedOn w:val="a"/>
    <w:next w:val="a"/>
    <w:autoRedefine/>
    <w:uiPriority w:val="39"/>
    <w:unhideWhenUsed/>
    <w:qFormat/>
    <w:pPr>
      <w:ind w:leftChars="600" w:left="1260"/>
      <w:jc w:val="both"/>
    </w:pPr>
  </w:style>
  <w:style w:type="paragraph" w:styleId="6">
    <w:name w:val="toc 6"/>
    <w:basedOn w:val="a"/>
    <w:next w:val="a"/>
    <w:autoRedefine/>
    <w:uiPriority w:val="39"/>
    <w:unhideWhenUsed/>
    <w:qFormat/>
    <w:pPr>
      <w:ind w:leftChars="1000" w:left="2100"/>
      <w:jc w:val="both"/>
    </w:pPr>
  </w:style>
  <w:style w:type="paragraph" w:styleId="20">
    <w:name w:val="toc 2"/>
    <w:basedOn w:val="a"/>
    <w:next w:val="a"/>
    <w:autoRedefine/>
    <w:uiPriority w:val="39"/>
    <w:unhideWhenUsed/>
    <w:qFormat/>
    <w:pPr>
      <w:ind w:leftChars="200" w:left="420"/>
    </w:pPr>
  </w:style>
  <w:style w:type="paragraph" w:styleId="9">
    <w:name w:val="toc 9"/>
    <w:basedOn w:val="a"/>
    <w:next w:val="a"/>
    <w:autoRedefine/>
    <w:uiPriority w:val="39"/>
    <w:unhideWhenUsed/>
    <w:qFormat/>
    <w:pPr>
      <w:ind w:leftChars="1600" w:left="3360"/>
      <w:jc w:val="both"/>
    </w:pPr>
  </w:style>
  <w:style w:type="paragraph" w:styleId="aa">
    <w:name w:val="Normal (Web)"/>
    <w:basedOn w:val="a"/>
    <w:uiPriority w:val="99"/>
    <w:unhideWhenUsed/>
    <w:qFormat/>
    <w:pPr>
      <w:widowControl/>
      <w:spacing w:before="100" w:beforeAutospacing="1" w:after="100" w:afterAutospacing="1"/>
    </w:pPr>
    <w:rPr>
      <w:rFonts w:ascii="宋体" w:eastAsia="宋体" w:hAnsi="宋体" w:cs="宋体"/>
      <w:kern w:val="0"/>
      <w:sz w:val="24"/>
      <w:szCs w:val="24"/>
    </w:rPr>
  </w:style>
  <w:style w:type="paragraph" w:styleId="ab">
    <w:name w:val="Title"/>
    <w:basedOn w:val="a"/>
    <w:next w:val="a"/>
    <w:link w:val="Char5"/>
    <w:uiPriority w:val="10"/>
    <w:qFormat/>
    <w:pPr>
      <w:keepNext/>
      <w:keepLines/>
      <w:spacing w:before="340" w:after="330" w:line="578" w:lineRule="auto"/>
      <w:jc w:val="center"/>
    </w:pPr>
    <w:rPr>
      <w:rFonts w:ascii="Cambria" w:eastAsia="宋体" w:hAnsi="Cambria" w:cs="Times New Roman"/>
      <w:b/>
      <w:bCs/>
      <w:kern w:val="0"/>
      <w:sz w:val="32"/>
      <w:szCs w:val="32"/>
    </w:rPr>
  </w:style>
  <w:style w:type="paragraph" w:styleId="ac">
    <w:name w:val="annotation subject"/>
    <w:basedOn w:val="a5"/>
    <w:next w:val="a5"/>
    <w:link w:val="Char6"/>
    <w:uiPriority w:val="99"/>
    <w:semiHidden/>
    <w:unhideWhenUsed/>
    <w:qFormat/>
    <w:rPr>
      <w:b/>
      <w:bCs/>
    </w:rPr>
  </w:style>
  <w:style w:type="table" w:styleId="ad">
    <w:name w:val="Table Grid"/>
    <w:basedOn w:val="a2"/>
    <w:uiPriority w:val="59"/>
    <w:qFormat/>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FollowedHyperlink"/>
    <w:basedOn w:val="a1"/>
    <w:uiPriority w:val="99"/>
    <w:semiHidden/>
    <w:unhideWhenUsed/>
    <w:qFormat/>
    <w:rPr>
      <w:color w:val="954F72"/>
      <w:u w:val="single"/>
    </w:rPr>
  </w:style>
  <w:style w:type="character" w:styleId="af">
    <w:name w:val="Hyperlink"/>
    <w:basedOn w:val="a1"/>
    <w:uiPriority w:val="99"/>
    <w:unhideWhenUsed/>
    <w:qFormat/>
    <w:rPr>
      <w:color w:val="0000FF" w:themeColor="hyperlink"/>
      <w:u w:val="single"/>
    </w:rPr>
  </w:style>
  <w:style w:type="character" w:styleId="af0">
    <w:name w:val="annotation reference"/>
    <w:basedOn w:val="a1"/>
    <w:uiPriority w:val="99"/>
    <w:semiHidden/>
    <w:unhideWhenUsed/>
    <w:qFormat/>
    <w:rPr>
      <w:sz w:val="21"/>
      <w:szCs w:val="21"/>
    </w:rPr>
  </w:style>
  <w:style w:type="paragraph" w:customStyle="1" w:styleId="Header1">
    <w:name w:val="Header 1"/>
    <w:uiPriority w:val="99"/>
    <w:qFormat/>
    <w:pPr>
      <w:jc w:val="right"/>
    </w:pPr>
    <w:rPr>
      <w:rFonts w:ascii="宋体" w:hAnsiTheme="minorHAnsi" w:cstheme="minorBidi"/>
      <w:kern w:val="2"/>
      <w:sz w:val="18"/>
      <w:szCs w:val="18"/>
    </w:rPr>
  </w:style>
  <w:style w:type="paragraph" w:customStyle="1" w:styleId="headingh1">
    <w:name w:val="heading h1"/>
    <w:basedOn w:val="a"/>
    <w:next w:val="a"/>
    <w:uiPriority w:val="9"/>
    <w:qFormat/>
    <w:pPr>
      <w:keepNext/>
      <w:keepLines/>
      <w:spacing w:before="240" w:after="240" w:line="578" w:lineRule="auto"/>
      <w:outlineLvl w:val="0"/>
    </w:pPr>
    <w:rPr>
      <w:kern w:val="44"/>
      <w:sz w:val="44"/>
      <w:szCs w:val="44"/>
    </w:rPr>
  </w:style>
  <w:style w:type="paragraph" w:customStyle="1" w:styleId="fotter1">
    <w:name w:val="fotter 1"/>
    <w:uiPriority w:val="99"/>
    <w:qFormat/>
    <w:pPr>
      <w:jc w:val="right"/>
    </w:pPr>
    <w:rPr>
      <w:rFonts w:ascii="宋体" w:hAnsiTheme="minorHAnsi" w:cstheme="minorBidi"/>
      <w:kern w:val="2"/>
      <w:sz w:val="18"/>
      <w:szCs w:val="18"/>
    </w:rPr>
  </w:style>
  <w:style w:type="character" w:customStyle="1" w:styleId="Char4">
    <w:name w:val="页眉 Char"/>
    <w:basedOn w:val="a1"/>
    <w:link w:val="a9"/>
    <w:uiPriority w:val="99"/>
    <w:qFormat/>
    <w:rPr>
      <w:sz w:val="18"/>
      <w:szCs w:val="18"/>
    </w:rPr>
  </w:style>
  <w:style w:type="character" w:customStyle="1" w:styleId="Char3">
    <w:name w:val="页脚 Char"/>
    <w:basedOn w:val="a1"/>
    <w:link w:val="a8"/>
    <w:uiPriority w:val="99"/>
    <w:qFormat/>
    <w:rPr>
      <w:sz w:val="18"/>
      <w:szCs w:val="18"/>
    </w:rPr>
  </w:style>
  <w:style w:type="character" w:customStyle="1" w:styleId="Char2">
    <w:name w:val="批注框文本 Char"/>
    <w:basedOn w:val="a1"/>
    <w:link w:val="a7"/>
    <w:uiPriority w:val="99"/>
    <w:semiHidden/>
    <w:qFormat/>
    <w:rPr>
      <w:sz w:val="18"/>
      <w:szCs w:val="18"/>
    </w:rPr>
  </w:style>
  <w:style w:type="paragraph" w:customStyle="1" w:styleId="Chapter">
    <w:name w:val="Chapter"/>
    <w:next w:val="a"/>
    <w:uiPriority w:val="99"/>
    <w:qFormat/>
    <w:pPr>
      <w:keepNext/>
      <w:keepLines/>
      <w:widowControl w:val="0"/>
      <w:spacing w:before="300" w:after="300" w:line="241" w:lineRule="auto"/>
      <w:jc w:val="both"/>
    </w:pPr>
    <w:rPr>
      <w:b/>
      <w:bCs/>
      <w:kern w:val="28"/>
      <w:sz w:val="24"/>
      <w:szCs w:val="24"/>
    </w:rPr>
  </w:style>
  <w:style w:type="character" w:customStyle="1" w:styleId="Char5">
    <w:name w:val="标题 Char"/>
    <w:basedOn w:val="a1"/>
    <w:link w:val="ab"/>
    <w:uiPriority w:val="10"/>
    <w:qFormat/>
    <w:rPr>
      <w:rFonts w:ascii="Cambria" w:eastAsia="宋体" w:hAnsi="Cambria" w:cs="Times New Roman"/>
      <w:b/>
      <w:bCs/>
      <w:kern w:val="0"/>
      <w:sz w:val="32"/>
      <w:szCs w:val="32"/>
    </w:rPr>
  </w:style>
  <w:style w:type="paragraph" w:customStyle="1" w:styleId="Section">
    <w:name w:val="Section"/>
    <w:next w:val="a"/>
    <w:uiPriority w:val="99"/>
    <w:qFormat/>
    <w:pPr>
      <w:keepNext/>
      <w:keepLines/>
      <w:widowControl w:val="0"/>
      <w:spacing w:before="300" w:after="300" w:line="241" w:lineRule="auto"/>
      <w:jc w:val="both"/>
    </w:pPr>
    <w:rPr>
      <w:b/>
      <w:bCs/>
      <w:kern w:val="28"/>
      <w:sz w:val="21"/>
      <w:szCs w:val="21"/>
    </w:rPr>
  </w:style>
  <w:style w:type="paragraph" w:styleId="af1">
    <w:name w:val="List Paragraph"/>
    <w:basedOn w:val="a"/>
    <w:link w:val="Char7"/>
    <w:uiPriority w:val="34"/>
    <w:qFormat/>
    <w:pPr>
      <w:ind w:firstLineChars="200" w:firstLine="420"/>
    </w:pPr>
  </w:style>
  <w:style w:type="character" w:customStyle="1" w:styleId="Char0">
    <w:name w:val="批注文字 Char"/>
    <w:basedOn w:val="a1"/>
    <w:link w:val="a5"/>
    <w:uiPriority w:val="99"/>
    <w:qFormat/>
  </w:style>
  <w:style w:type="character" w:customStyle="1" w:styleId="Char6">
    <w:name w:val="批注主题 Char"/>
    <w:basedOn w:val="Char0"/>
    <w:link w:val="ac"/>
    <w:uiPriority w:val="99"/>
    <w:semiHidden/>
    <w:qFormat/>
    <w:rPr>
      <w:b/>
      <w:bCs/>
    </w:rPr>
  </w:style>
  <w:style w:type="paragraph" w:customStyle="1" w:styleId="TableParagraph">
    <w:name w:val="Table Paragraph"/>
    <w:basedOn w:val="a"/>
    <w:uiPriority w:val="1"/>
    <w:qFormat/>
    <w:pPr>
      <w:spacing w:before="40" w:after="40"/>
      <w:jc w:val="both"/>
    </w:pPr>
    <w:rPr>
      <w:rFonts w:ascii="宋体" w:eastAsia="宋体" w:hAnsi="宋体" w:cs="宋体"/>
      <w:sz w:val="18"/>
      <w:szCs w:val="18"/>
    </w:rPr>
  </w:style>
  <w:style w:type="character" w:customStyle="1" w:styleId="2Char">
    <w:name w:val="标题 2 Char"/>
    <w:link w:val="2"/>
    <w:uiPriority w:val="9"/>
    <w:qFormat/>
    <w:rPr>
      <w:szCs w:val="21"/>
    </w:rPr>
  </w:style>
  <w:style w:type="character" w:customStyle="1" w:styleId="Char7">
    <w:name w:val="列出段落 Char"/>
    <w:link w:val="af1"/>
    <w:uiPriority w:val="34"/>
    <w:qFormat/>
  </w:style>
  <w:style w:type="paragraph" w:customStyle="1" w:styleId="af2">
    <w:name w:val="附注－正文"/>
    <w:basedOn w:val="a6"/>
    <w:qFormat/>
    <w:pPr>
      <w:adjustRightInd w:val="0"/>
      <w:snapToGrid w:val="0"/>
      <w:spacing w:afterLines="50" w:after="0" w:line="360" w:lineRule="auto"/>
      <w:ind w:leftChars="0" w:left="0" w:firstLineChars="200" w:firstLine="200"/>
      <w:jc w:val="both"/>
    </w:pPr>
    <w:rPr>
      <w:rFonts w:ascii="Times New Roman" w:eastAsia="宋体" w:hAnsi="Times New Roman" w:cs="Times New Roman"/>
      <w:szCs w:val="20"/>
    </w:rPr>
  </w:style>
  <w:style w:type="character" w:customStyle="1" w:styleId="Char1">
    <w:name w:val="正文文本缩进 Char"/>
    <w:basedOn w:val="a1"/>
    <w:link w:val="a6"/>
    <w:uiPriority w:val="99"/>
    <w:semiHidden/>
    <w:qFormat/>
  </w:style>
  <w:style w:type="character" w:customStyle="1" w:styleId="4Char">
    <w:name w:val="标题 4 Char"/>
    <w:basedOn w:val="a1"/>
    <w:link w:val="4"/>
    <w:uiPriority w:val="9"/>
    <w:semiHidden/>
    <w:qFormat/>
    <w:rPr>
      <w:rFonts w:asciiTheme="majorHAnsi" w:eastAsiaTheme="majorEastAsia" w:hAnsiTheme="majorHAnsi" w:cstheme="majorBidi"/>
      <w:b/>
      <w:bCs/>
      <w:sz w:val="28"/>
      <w:szCs w:val="28"/>
    </w:rPr>
  </w:style>
  <w:style w:type="paragraph" w:customStyle="1" w:styleId="11">
    <w:name w:val="页眉1"/>
    <w:basedOn w:val="a"/>
    <w:uiPriority w:val="99"/>
    <w:qFormat/>
    <w:pPr>
      <w:pBdr>
        <w:bottom w:val="single" w:sz="6" w:space="1" w:color="auto"/>
      </w:pBdr>
      <w:tabs>
        <w:tab w:val="center" w:pos="4153"/>
        <w:tab w:val="right" w:pos="8306"/>
      </w:tabs>
      <w:snapToGrid w:val="0"/>
      <w:jc w:val="right"/>
    </w:pPr>
    <w:rPr>
      <w:rFonts w:ascii="Times New Roman" w:eastAsia="宋体" w:hAnsi="Times New Roman" w:cs="Times New Roman"/>
      <w:sz w:val="18"/>
      <w:szCs w:val="18"/>
    </w:rPr>
  </w:style>
  <w:style w:type="paragraph" w:customStyle="1" w:styleId="12">
    <w:name w:val="页脚1"/>
    <w:basedOn w:val="a"/>
    <w:uiPriority w:val="99"/>
    <w:qFormat/>
    <w:pPr>
      <w:tabs>
        <w:tab w:val="center" w:pos="4153"/>
        <w:tab w:val="right" w:pos="8306"/>
      </w:tabs>
      <w:snapToGrid w:val="0"/>
      <w:jc w:val="right"/>
    </w:pPr>
    <w:rPr>
      <w:rFonts w:ascii="Times New Roman" w:eastAsia="宋体" w:hAnsi="Times New Roman" w:cs="Times New Roman"/>
      <w:sz w:val="18"/>
      <w:szCs w:val="18"/>
    </w:rPr>
  </w:style>
  <w:style w:type="character" w:customStyle="1" w:styleId="Char">
    <w:name w:val="文档结构图 Char"/>
    <w:basedOn w:val="a1"/>
    <w:link w:val="a4"/>
    <w:uiPriority w:val="99"/>
    <w:semiHidden/>
    <w:qFormat/>
    <w:rPr>
      <w:rFonts w:ascii="宋体" w:eastAsia="宋体" w:hAnsi="Times New Roman" w:cs="Times New Roman"/>
      <w:kern w:val="0"/>
      <w:sz w:val="18"/>
      <w:szCs w:val="18"/>
    </w:rPr>
  </w:style>
  <w:style w:type="character" w:customStyle="1" w:styleId="fontsize18px">
    <w:name w:val="fontsize18px"/>
    <w:basedOn w:val="a1"/>
    <w:qFormat/>
  </w:style>
  <w:style w:type="character" w:customStyle="1" w:styleId="font11">
    <w:name w:val="font11"/>
    <w:qFormat/>
    <w:rPr>
      <w:rFonts w:ascii="仿宋_GB2312" w:eastAsia="仿宋_GB2312" w:cs="仿宋_GB2312" w:hint="default"/>
      <w:color w:val="000000"/>
      <w:sz w:val="20"/>
      <w:szCs w:val="20"/>
      <w:u w:val="none"/>
    </w:rPr>
  </w:style>
  <w:style w:type="character" w:customStyle="1" w:styleId="font21">
    <w:name w:val="font21"/>
    <w:qFormat/>
    <w:rPr>
      <w:rFonts w:ascii="Arial Narrow" w:eastAsia="Arial Narrow" w:hAnsi="Arial Narrow" w:cs="Arial Narrow"/>
      <w:color w:val="000000"/>
      <w:sz w:val="20"/>
      <w:szCs w:val="20"/>
      <w:u w:val="none"/>
    </w:rPr>
  </w:style>
  <w:style w:type="character" w:customStyle="1" w:styleId="3Char">
    <w:name w:val="标题 3 Char"/>
    <w:link w:val="30"/>
    <w:uiPriority w:val="99"/>
    <w:qFormat/>
    <w:rPr>
      <w:rFonts w:eastAsia="宋体"/>
      <w:szCs w:val="21"/>
    </w:rPr>
  </w:style>
  <w:style w:type="paragraph" w:customStyle="1" w:styleId="13">
    <w:name w:val="修订1"/>
    <w:hidden/>
    <w:uiPriority w:val="99"/>
    <w:semiHidden/>
    <w:qFormat/>
    <w:rPr>
      <w:kern w:val="2"/>
      <w:sz w:val="18"/>
      <w:szCs w:val="18"/>
    </w:rPr>
  </w:style>
  <w:style w:type="character" w:customStyle="1" w:styleId="1Char">
    <w:name w:val="标题 1 Char"/>
    <w:basedOn w:val="a1"/>
    <w:link w:val="1"/>
    <w:qFormat/>
    <w:rPr>
      <w:rFonts w:ascii="Arial Narrow" w:eastAsia="仿宋_GB2312" w:hAnsi="Arial Narrow" w:cs="Times New Roman"/>
      <w:b/>
      <w:sz w:val="24"/>
      <w:szCs w:val="24"/>
    </w:rPr>
  </w:style>
  <w:style w:type="paragraph" w:customStyle="1" w:styleId="3">
    <w:name w:val="标题3的样式"/>
    <w:basedOn w:val="21"/>
    <w:qFormat/>
    <w:pPr>
      <w:widowControl/>
      <w:numPr>
        <w:ilvl w:val="2"/>
        <w:numId w:val="1"/>
      </w:numPr>
      <w:snapToGrid w:val="0"/>
      <w:spacing w:beforeLines="50" w:before="50" w:afterLines="90" w:after="90"/>
    </w:pPr>
    <w:rPr>
      <w:rFonts w:ascii="Arial Narrow" w:eastAsia="仿宋_GB2312" w:hAnsi="Arial Narrow" w:cs="Times New Roman"/>
      <w:sz w:val="24"/>
      <w:szCs w:val="24"/>
    </w:rPr>
  </w:style>
  <w:style w:type="paragraph" w:customStyle="1" w:styleId="21">
    <w:name w:val="样式2"/>
    <w:basedOn w:val="30"/>
    <w:qFormat/>
  </w:style>
  <w:style w:type="paragraph" w:customStyle="1" w:styleId="msonormal0">
    <w:name w:val="msonormal"/>
    <w:basedOn w:val="a"/>
    <w:qFormat/>
    <w:pPr>
      <w:widowControl/>
      <w:spacing w:before="100" w:beforeAutospacing="1" w:after="100" w:afterAutospacing="1"/>
    </w:pPr>
    <w:rPr>
      <w:rFonts w:ascii="宋体" w:eastAsia="宋体" w:hAnsi="宋体" w:cs="宋体"/>
      <w:kern w:val="0"/>
      <w:sz w:val="24"/>
      <w:szCs w:val="24"/>
    </w:rPr>
  </w:style>
  <w:style w:type="paragraph" w:customStyle="1" w:styleId="font5">
    <w:name w:val="font5"/>
    <w:basedOn w:val="a"/>
    <w:qFormat/>
    <w:pPr>
      <w:widowControl/>
      <w:spacing w:before="100" w:beforeAutospacing="1" w:after="100" w:afterAutospacing="1"/>
    </w:pPr>
    <w:rPr>
      <w:rFonts w:ascii="等线" w:eastAsia="等线" w:hAnsi="等线" w:cs="宋体"/>
      <w:kern w:val="0"/>
      <w:sz w:val="18"/>
      <w:szCs w:val="18"/>
    </w:rPr>
  </w:style>
  <w:style w:type="paragraph" w:customStyle="1" w:styleId="xl74">
    <w:name w:val="xl74"/>
    <w:basedOn w:val="a"/>
    <w:qFormat/>
    <w:pPr>
      <w:widowControl/>
      <w:pBdr>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5">
    <w:name w:val="xl75"/>
    <w:basedOn w:val="a"/>
    <w:qFormat/>
    <w:pPr>
      <w:widowControl/>
      <w:pBdr>
        <w:top w:val="single" w:sz="8" w:space="0" w:color="auto"/>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6">
    <w:name w:val="xl76"/>
    <w:basedOn w:val="a"/>
    <w:qFormat/>
    <w:pPr>
      <w:widowControl/>
      <w:pBdr>
        <w:top w:val="single" w:sz="8" w:space="0" w:color="auto"/>
        <w:left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7">
    <w:name w:val="xl77"/>
    <w:basedOn w:val="a"/>
    <w:qFormat/>
    <w:pPr>
      <w:widowControl/>
      <w:pBdr>
        <w:left w:val="single" w:sz="8" w:space="0" w:color="auto"/>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8">
    <w:name w:val="xl78"/>
    <w:basedOn w:val="a"/>
    <w:qFormat/>
    <w:pPr>
      <w:widowControl/>
      <w:pBdr>
        <w:top w:val="single" w:sz="8" w:space="0" w:color="auto"/>
        <w:left w:val="single" w:sz="8" w:space="0" w:color="auto"/>
        <w:bottom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9">
    <w:name w:val="xl79"/>
    <w:basedOn w:val="a"/>
    <w:qFormat/>
    <w:pPr>
      <w:widowControl/>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xl80">
    <w:name w:val="xl80"/>
    <w:basedOn w:val="a"/>
    <w:qFormat/>
    <w:pPr>
      <w:widowControl/>
      <w:pBdr>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xl81">
    <w:name w:val="xl81"/>
    <w:basedOn w:val="a"/>
    <w:qFormat/>
    <w:pPr>
      <w:widowControl/>
      <w:pBdr>
        <w:bottom w:val="single" w:sz="8" w:space="0" w:color="auto"/>
        <w:right w:val="single" w:sz="8" w:space="0" w:color="auto"/>
      </w:pBdr>
      <w:shd w:val="clear" w:color="000000" w:fill="FFFFFF"/>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82">
    <w:name w:val="xl82"/>
    <w:basedOn w:val="a"/>
    <w:qFormat/>
    <w:pPr>
      <w:widowControl/>
      <w:pBdr>
        <w:bottom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宋体" w:hAnsi="Times New Roman" w:cs="Times New Roman"/>
      <w:color w:val="000000"/>
      <w:kern w:val="0"/>
      <w:sz w:val="18"/>
      <w:szCs w:val="18"/>
    </w:rPr>
  </w:style>
  <w:style w:type="paragraph" w:customStyle="1" w:styleId="xl83">
    <w:name w:val="xl83"/>
    <w:basedOn w:val="a"/>
    <w:qFormat/>
    <w:pPr>
      <w:widowControl/>
      <w:pBdr>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font6">
    <w:name w:val="font6"/>
    <w:basedOn w:val="a"/>
    <w:qFormat/>
    <w:pPr>
      <w:widowControl/>
      <w:spacing w:before="100" w:beforeAutospacing="1" w:after="100" w:afterAutospacing="1"/>
    </w:pPr>
    <w:rPr>
      <w:rFonts w:ascii="Times New Roman" w:eastAsia="宋体" w:hAnsi="Times New Roman" w:cs="Times New Roman"/>
      <w:color w:val="000000"/>
      <w:kern w:val="0"/>
      <w:sz w:val="18"/>
      <w:szCs w:val="18"/>
    </w:rPr>
  </w:style>
  <w:style w:type="paragraph" w:customStyle="1" w:styleId="font7">
    <w:name w:val="font7"/>
    <w:basedOn w:val="a"/>
    <w:qFormat/>
    <w:pPr>
      <w:widowControl/>
      <w:spacing w:before="100" w:beforeAutospacing="1" w:after="100" w:afterAutospacing="1"/>
    </w:pPr>
    <w:rPr>
      <w:rFonts w:ascii="等线" w:eastAsia="等线" w:hAnsi="等线" w:cs="宋体"/>
      <w:kern w:val="0"/>
      <w:sz w:val="18"/>
      <w:szCs w:val="18"/>
    </w:rPr>
  </w:style>
  <w:style w:type="paragraph" w:customStyle="1" w:styleId="xl65">
    <w:name w:val="xl65"/>
    <w:basedOn w:val="a"/>
    <w:qFormat/>
    <w:pPr>
      <w:widowControl/>
      <w:pBdr>
        <w:top w:val="single" w:sz="8" w:space="0" w:color="auto"/>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66">
    <w:name w:val="xl66"/>
    <w:basedOn w:val="a"/>
    <w:qFormat/>
    <w:pPr>
      <w:widowControl/>
      <w:pBdr>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67">
    <w:name w:val="xl67"/>
    <w:basedOn w:val="a"/>
    <w:qFormat/>
    <w:pPr>
      <w:widowControl/>
      <w:pBdr>
        <w:bottom w:val="single" w:sz="8" w:space="0" w:color="auto"/>
        <w:right w:val="single" w:sz="8" w:space="0" w:color="auto"/>
      </w:pBdr>
      <w:shd w:val="clear" w:color="000000" w:fill="FFFFFF"/>
      <w:spacing w:before="100" w:beforeAutospacing="1" w:after="100" w:afterAutospacing="1"/>
    </w:pPr>
    <w:rPr>
      <w:rFonts w:ascii="宋体" w:eastAsia="宋体" w:hAnsi="宋体" w:cs="宋体"/>
      <w:color w:val="000000"/>
      <w:kern w:val="0"/>
      <w:sz w:val="18"/>
      <w:szCs w:val="18"/>
    </w:rPr>
  </w:style>
  <w:style w:type="paragraph" w:customStyle="1" w:styleId="xl68">
    <w:name w:val="xl68"/>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宋体" w:eastAsia="宋体" w:hAnsi="宋体" w:cs="宋体"/>
      <w:color w:val="000000"/>
      <w:kern w:val="0"/>
      <w:sz w:val="18"/>
      <w:szCs w:val="18"/>
    </w:rPr>
  </w:style>
  <w:style w:type="paragraph" w:customStyle="1" w:styleId="xl69">
    <w:name w:val="xl69"/>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70">
    <w:name w:val="xl70"/>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71">
    <w:name w:val="xl71"/>
    <w:basedOn w:val="a"/>
    <w:qFormat/>
    <w:pPr>
      <w:widowControl/>
      <w:pBdr>
        <w:bottom w:val="single" w:sz="8" w:space="0" w:color="auto"/>
        <w:right w:val="single" w:sz="8" w:space="0" w:color="auto"/>
      </w:pBdr>
      <w:shd w:val="clear" w:color="000000" w:fill="FFFFFF"/>
      <w:spacing w:before="100" w:beforeAutospacing="1" w:after="100" w:afterAutospacing="1"/>
      <w:jc w:val="center"/>
    </w:pPr>
    <w:rPr>
      <w:rFonts w:ascii="宋体" w:eastAsia="宋体" w:hAnsi="宋体" w:cs="宋体"/>
      <w:color w:val="000000"/>
      <w:kern w:val="0"/>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宋体" w:eastAsia="宋体" w:hAnsi="宋体" w:cs="宋体"/>
      <w:color w:val="000000"/>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84">
    <w:name w:val="xl84"/>
    <w:basedOn w:val="a"/>
    <w:qFormat/>
    <w:pPr>
      <w:widowControl/>
      <w:pBdr>
        <w:left w:val="single" w:sz="8" w:space="0" w:color="auto"/>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5">
    <w:name w:val="xl85"/>
    <w:basedOn w:val="a"/>
    <w:qFormat/>
    <w:pPr>
      <w:widowControl/>
      <w:pBdr>
        <w:top w:val="single" w:sz="8" w:space="0" w:color="auto"/>
        <w:left w:val="single" w:sz="8" w:space="0" w:color="auto"/>
        <w:bottom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6">
    <w:name w:val="xl86"/>
    <w:basedOn w:val="a"/>
    <w:qFormat/>
    <w:pPr>
      <w:widowControl/>
      <w:pBdr>
        <w:top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7">
    <w:name w:val="xl87"/>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88">
    <w:name w:val="xl88"/>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kern w:val="0"/>
      <w:sz w:val="18"/>
      <w:szCs w:val="18"/>
    </w:rPr>
  </w:style>
  <w:style w:type="paragraph" w:customStyle="1" w:styleId="xl91">
    <w:name w:val="xl91"/>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2">
    <w:name w:val="xl92"/>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color w:val="000000"/>
      <w:kern w:val="0"/>
      <w:sz w:val="18"/>
      <w:szCs w:val="18"/>
    </w:rPr>
  </w:style>
  <w:style w:type="paragraph" w:customStyle="1" w:styleId="xl93">
    <w:name w:val="xl93"/>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94">
    <w:name w:val="xl94"/>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5">
    <w:name w:val="xl95"/>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96">
    <w:name w:val="xl96"/>
    <w:basedOn w:val="a"/>
    <w:qFormat/>
    <w:pPr>
      <w:widowControl/>
      <w:pBdr>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97">
    <w:name w:val="xl97"/>
    <w:basedOn w:val="a"/>
    <w:qFormat/>
    <w:pPr>
      <w:widowControl/>
      <w:pBdr>
        <w:right w:val="single" w:sz="8" w:space="0" w:color="auto"/>
      </w:pBdr>
      <w:spacing w:before="100" w:beforeAutospacing="1" w:after="100" w:afterAutospacing="1"/>
    </w:pPr>
    <w:rPr>
      <w:rFonts w:ascii="宋体" w:eastAsia="宋体" w:hAnsi="宋体" w:cs="宋体"/>
      <w:color w:val="000000"/>
      <w:kern w:val="0"/>
      <w:sz w:val="18"/>
      <w:szCs w:val="18"/>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eastAsia="宋体" w:hAnsi="宋体" w:cs="宋体"/>
      <w:kern w:val="0"/>
      <w:sz w:val="18"/>
      <w:szCs w:val="1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color w:val="000000"/>
      <w:kern w:val="0"/>
      <w:sz w:val="18"/>
      <w:szCs w:val="18"/>
    </w:rPr>
  </w:style>
  <w:style w:type="paragraph" w:customStyle="1" w:styleId="xl100">
    <w:name w:val="xl100"/>
    <w:basedOn w:val="a"/>
    <w:qFormat/>
    <w:pPr>
      <w:widowControl/>
      <w:pBdr>
        <w:bottom w:val="single" w:sz="8" w:space="0" w:color="auto"/>
        <w:right w:val="single" w:sz="8" w:space="0" w:color="auto"/>
      </w:pBdr>
      <w:spacing w:before="100" w:beforeAutospacing="1" w:after="100" w:afterAutospacing="1"/>
      <w:jc w:val="center"/>
    </w:pPr>
    <w:rPr>
      <w:rFonts w:ascii="宋体" w:eastAsia="宋体" w:hAnsi="宋体" w:cs="宋体"/>
      <w:kern w:val="0"/>
      <w:sz w:val="18"/>
      <w:szCs w:val="18"/>
    </w:rPr>
  </w:style>
  <w:style w:type="paragraph" w:customStyle="1" w:styleId="xl101">
    <w:name w:val="xl101"/>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102">
    <w:name w:val="xl102"/>
    <w:basedOn w:val="a"/>
    <w:qFormat/>
    <w:pPr>
      <w:widowControl/>
      <w:pBdr>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103">
    <w:name w:val="xl103"/>
    <w:basedOn w:val="a"/>
    <w:qFormat/>
    <w:pPr>
      <w:widowControl/>
      <w:spacing w:before="100" w:beforeAutospacing="1" w:after="100" w:afterAutospacing="1"/>
    </w:pPr>
    <w:rPr>
      <w:rFonts w:ascii="宋体" w:eastAsia="宋体" w:hAnsi="宋体" w:cs="宋体"/>
      <w:color w:val="000000"/>
      <w:kern w:val="0"/>
      <w:sz w:val="18"/>
      <w:szCs w:val="18"/>
    </w:rPr>
  </w:style>
  <w:style w:type="paragraph" w:customStyle="1" w:styleId="xl104">
    <w:name w:val="xl104"/>
    <w:basedOn w:val="a"/>
    <w:qFormat/>
    <w:pPr>
      <w:widowControl/>
      <w:spacing w:before="100" w:beforeAutospacing="1" w:after="100" w:afterAutospacing="1"/>
    </w:pPr>
    <w:rPr>
      <w:rFonts w:ascii="宋体" w:eastAsia="宋体" w:hAnsi="宋体" w:cs="宋体"/>
      <w:kern w:val="0"/>
      <w:sz w:val="18"/>
      <w:szCs w:val="18"/>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18"/>
      <w:szCs w:val="18"/>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color w:val="000000"/>
      <w:kern w:val="0"/>
      <w:sz w:val="18"/>
      <w:szCs w:val="18"/>
    </w:rPr>
  </w:style>
  <w:style w:type="paragraph" w:customStyle="1" w:styleId="xl107">
    <w:name w:val="xl107"/>
    <w:basedOn w:val="a"/>
    <w:qFormat/>
    <w:pPr>
      <w:widowControl/>
      <w:spacing w:before="100" w:beforeAutospacing="1" w:after="100" w:afterAutospacing="1"/>
      <w:jc w:val="center"/>
    </w:pPr>
    <w:rPr>
      <w:rFonts w:ascii="宋体" w:eastAsia="宋体" w:hAnsi="宋体" w:cs="宋体"/>
      <w:color w:val="000000"/>
      <w:kern w:val="0"/>
      <w:sz w:val="18"/>
      <w:szCs w:val="18"/>
    </w:rPr>
  </w:style>
  <w:style w:type="paragraph" w:customStyle="1" w:styleId="xl108">
    <w:name w:val="xl108"/>
    <w:basedOn w:val="a"/>
    <w:qFormat/>
    <w:pPr>
      <w:widowControl/>
      <w:spacing w:before="100" w:beforeAutospacing="1" w:after="100" w:afterAutospacing="1"/>
    </w:pPr>
    <w:rPr>
      <w:rFonts w:ascii="宋体" w:eastAsia="宋体" w:hAnsi="宋体" w:cs="宋体"/>
      <w:color w:val="000000"/>
      <w:kern w:val="0"/>
      <w:sz w:val="18"/>
      <w:szCs w:val="18"/>
    </w:rPr>
  </w:style>
  <w:style w:type="table" w:customStyle="1" w:styleId="14">
    <w:name w:val="网格型1"/>
    <w:basedOn w:val="a2"/>
    <w:uiPriority w:val="59"/>
    <w:qFormat/>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修订2"/>
    <w:hidden/>
    <w:uiPriority w:val="99"/>
    <w:semiHidden/>
    <w:qFormat/>
    <w:rPr>
      <w:kern w:val="2"/>
      <w:sz w:val="18"/>
      <w:szCs w:val="18"/>
    </w:rPr>
  </w:style>
  <w:style w:type="character" w:customStyle="1" w:styleId="font31">
    <w:name w:val="font31"/>
    <w:basedOn w:val="a1"/>
    <w:qFormat/>
    <w:rPr>
      <w:rFonts w:ascii="Times New Roman" w:hAnsi="Times New Roman" w:cs="Times New Roman" w:hint="default"/>
      <w:color w:val="000000"/>
      <w:sz w:val="18"/>
      <w:szCs w:val="18"/>
      <w:u w:val="none"/>
    </w:rPr>
  </w:style>
  <w:style w:type="character" w:customStyle="1" w:styleId="font41">
    <w:name w:val="font41"/>
    <w:basedOn w:val="a1"/>
    <w:qFormat/>
    <w:rPr>
      <w:rFonts w:ascii="Times New Roman" w:hAnsi="Times New Roman" w:cs="Times New Roman" w:hint="default"/>
      <w:color w:val="000000"/>
      <w:sz w:val="18"/>
      <w:szCs w:val="18"/>
      <w:u w:val="none"/>
    </w:rPr>
  </w:style>
  <w:style w:type="character" w:customStyle="1" w:styleId="font61">
    <w:name w:val="font61"/>
    <w:basedOn w:val="a1"/>
    <w:qFormat/>
    <w:rPr>
      <w:rFonts w:ascii="Times New Roman" w:hAnsi="Times New Roman" w:cs="Times New Roman" w:hint="default"/>
      <w:color w:val="000000"/>
      <w:sz w:val="18"/>
      <w:szCs w:val="18"/>
      <w:u w:val="none"/>
    </w:rPr>
  </w:style>
  <w:style w:type="character" w:customStyle="1" w:styleId="font51">
    <w:name w:val="font51"/>
    <w:basedOn w:val="a1"/>
    <w:qFormat/>
    <w:rPr>
      <w:rFonts w:ascii="宋体" w:eastAsia="宋体" w:hAnsi="宋体" w:cs="宋体" w:hint="eastAsia"/>
      <w:color w:val="000000"/>
      <w:sz w:val="18"/>
      <w:szCs w:val="18"/>
      <w:u w:val="none"/>
    </w:rPr>
  </w:style>
  <w:style w:type="paragraph" w:customStyle="1" w:styleId="32">
    <w:name w:val="修订3"/>
    <w:hidden/>
    <w:uiPriority w:val="99"/>
    <w:semiHidden/>
    <w:qFormat/>
    <w:rPr>
      <w:rFonts w:asciiTheme="minorHAnsi" w:eastAsiaTheme="minorEastAsia" w:hAnsiTheme="minorHAnsi" w:cstheme="minorBid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qFormat="1"/>
    <w:lsdException w:name="toc 3" w:semiHidden="0" w:uiPriority="39" w:qFormat="1"/>
    <w:lsdException w:name="toc 4" w:semiHidden="0" w:uiPriority="39" w:qFormat="1"/>
    <w:lsdException w:name="toc 5" w:semiHidden="0" w:uiPriority="39" w:qFormat="1"/>
    <w:lsdException w:name="toc 6" w:semiHidden="0" w:uiPriority="39" w:qFormat="1"/>
    <w:lsdException w:name="toc 7" w:semiHidden="0" w:uiPriority="39" w:qFormat="1"/>
    <w:lsdException w:name="toc 8" w:semiHidden="0" w:uiPriority="39" w:qFormat="1"/>
    <w:lsdException w:name="toc 9" w:semiHidden="0" w:uiPriority="39" w:qFormat="1"/>
    <w:lsdException w:name="Normal Indent" w:semiHidden="0" w:uiPriority="0" w:unhideWhenUsed="0" w:qFormat="1"/>
    <w:lsdException w:name="annotation text" w:semiHidden="0" w:qFormat="1"/>
    <w:lsdException w:name="header" w:semiHidden="0" w:qFormat="1"/>
    <w:lsdException w:name="footer" w:semiHidden="0" w:qFormat="1"/>
    <w:lsdException w:name="caption" w:uiPriority="35" w:qFormat="1"/>
    <w:lsdException w:name="annotation reference" w:qFormat="1"/>
    <w:lsdException w:name="page number" w:semiHidden="0" w:uiPriority="0" w:qFormat="1"/>
    <w:lsdException w:name="Title" w:semiHidden="0" w:uiPriority="10" w:unhideWhenUsed="0" w:qFormat="1"/>
    <w:lsdException w:name="Default Paragraph Font" w:uiPriority="1" w:qFormat="1"/>
    <w:lsdException w:name="Body Text Indent" w:qFormat="1"/>
    <w:lsdException w:name="Subtitle" w:semiHidden="0" w:uiPriority="11" w:unhideWhenUsed="0" w:qFormat="1"/>
    <w:lsdException w:name="Hyperlink" w:semiHidden="0" w:qFormat="1"/>
    <w:lsdException w:name="FollowedHyperlink" w:qFormat="1"/>
    <w:lsdException w:name="Strong" w:semiHidden="0" w:uiPriority="22" w:unhideWhenUsed="0" w:qFormat="1"/>
    <w:lsdException w:name="Emphasis" w:semiHidden="0" w:uiPriority="20" w:unhideWhenUsed="0" w:qFormat="1"/>
    <w:lsdException w:name="Document Map" w:qFormat="1"/>
    <w:lsdException w:name="Normal (Web)" w:semiHidden="0" w:qFormat="1"/>
    <w:lsdException w:name="Normal Table"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Theme="minorHAnsi" w:eastAsiaTheme="minorEastAsia" w:hAnsiTheme="minorHAnsi" w:cstheme="minorBidi"/>
      <w:kern w:val="2"/>
      <w:sz w:val="21"/>
      <w:szCs w:val="22"/>
    </w:rPr>
  </w:style>
  <w:style w:type="paragraph" w:styleId="1">
    <w:name w:val="heading 1"/>
    <w:basedOn w:val="a"/>
    <w:next w:val="a"/>
    <w:link w:val="1Char"/>
    <w:qFormat/>
    <w:pPr>
      <w:keepNext/>
      <w:widowControl/>
      <w:snapToGrid w:val="0"/>
      <w:spacing w:beforeLines="50" w:before="120" w:afterLines="90" w:after="216"/>
      <w:ind w:hanging="420"/>
      <w:jc w:val="both"/>
      <w:outlineLvl w:val="0"/>
    </w:pPr>
    <w:rPr>
      <w:rFonts w:ascii="Arial Narrow" w:eastAsia="仿宋_GB2312" w:hAnsi="Arial Narrow" w:cs="Times New Roman"/>
      <w:b/>
      <w:sz w:val="24"/>
      <w:szCs w:val="24"/>
    </w:rPr>
  </w:style>
  <w:style w:type="paragraph" w:styleId="2">
    <w:name w:val="heading 2"/>
    <w:basedOn w:val="a"/>
    <w:next w:val="a0"/>
    <w:link w:val="2Char"/>
    <w:uiPriority w:val="9"/>
    <w:unhideWhenUsed/>
    <w:qFormat/>
    <w:pPr>
      <w:keepNext/>
      <w:keepLines/>
      <w:spacing w:before="156" w:after="156"/>
      <w:outlineLvl w:val="1"/>
    </w:pPr>
    <w:rPr>
      <w:szCs w:val="21"/>
    </w:rPr>
  </w:style>
  <w:style w:type="paragraph" w:styleId="30">
    <w:name w:val="heading 3"/>
    <w:basedOn w:val="4"/>
    <w:next w:val="a0"/>
    <w:link w:val="3Char"/>
    <w:uiPriority w:val="99"/>
    <w:qFormat/>
    <w:pPr>
      <w:spacing w:before="300" w:after="300" w:line="241" w:lineRule="auto"/>
      <w:jc w:val="both"/>
      <w:outlineLvl w:val="2"/>
    </w:pPr>
    <w:rPr>
      <w:rFonts w:eastAsia="宋体"/>
      <w:szCs w:val="21"/>
    </w:rPr>
  </w:style>
  <w:style w:type="paragraph" w:styleId="4">
    <w:name w:val="heading 4"/>
    <w:basedOn w:val="a"/>
    <w:next w:val="a"/>
    <w:link w:val="4Char"/>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jc w:val="both"/>
    </w:pPr>
    <w:rPr>
      <w:rFonts w:ascii="Times New Roman" w:eastAsia="宋体" w:hAnsi="Times New Roman" w:cs="Times New Roman"/>
      <w:szCs w:val="20"/>
    </w:rPr>
  </w:style>
  <w:style w:type="paragraph" w:styleId="7">
    <w:name w:val="toc 7"/>
    <w:basedOn w:val="a"/>
    <w:next w:val="a"/>
    <w:autoRedefine/>
    <w:uiPriority w:val="39"/>
    <w:unhideWhenUsed/>
    <w:qFormat/>
    <w:pPr>
      <w:ind w:leftChars="1200" w:left="2520"/>
      <w:jc w:val="both"/>
    </w:pPr>
  </w:style>
  <w:style w:type="paragraph" w:styleId="a4">
    <w:name w:val="Document Map"/>
    <w:basedOn w:val="a"/>
    <w:link w:val="Char"/>
    <w:uiPriority w:val="99"/>
    <w:semiHidden/>
    <w:unhideWhenUsed/>
    <w:qFormat/>
    <w:pPr>
      <w:spacing w:before="40" w:after="40"/>
      <w:jc w:val="both"/>
    </w:pPr>
    <w:rPr>
      <w:rFonts w:ascii="宋体" w:eastAsia="宋体" w:hAnsi="Times New Roman" w:cs="Times New Roman"/>
      <w:kern w:val="0"/>
      <w:sz w:val="18"/>
      <w:szCs w:val="18"/>
    </w:rPr>
  </w:style>
  <w:style w:type="paragraph" w:styleId="a5">
    <w:name w:val="annotation text"/>
    <w:basedOn w:val="a"/>
    <w:link w:val="Char0"/>
    <w:uiPriority w:val="99"/>
    <w:unhideWhenUsed/>
    <w:qFormat/>
  </w:style>
  <w:style w:type="paragraph" w:styleId="a6">
    <w:name w:val="Body Text Indent"/>
    <w:basedOn w:val="a"/>
    <w:link w:val="Char1"/>
    <w:uiPriority w:val="99"/>
    <w:semiHidden/>
    <w:unhideWhenUsed/>
    <w:qFormat/>
    <w:pPr>
      <w:spacing w:after="120"/>
      <w:ind w:leftChars="200" w:left="420"/>
    </w:pPr>
  </w:style>
  <w:style w:type="paragraph" w:styleId="5">
    <w:name w:val="toc 5"/>
    <w:basedOn w:val="a"/>
    <w:next w:val="a"/>
    <w:autoRedefine/>
    <w:uiPriority w:val="39"/>
    <w:unhideWhenUsed/>
    <w:qFormat/>
    <w:pPr>
      <w:ind w:leftChars="800" w:left="1680"/>
      <w:jc w:val="both"/>
    </w:pPr>
  </w:style>
  <w:style w:type="paragraph" w:styleId="31">
    <w:name w:val="toc 3"/>
    <w:basedOn w:val="a"/>
    <w:next w:val="a"/>
    <w:autoRedefine/>
    <w:uiPriority w:val="39"/>
    <w:unhideWhenUsed/>
    <w:qFormat/>
    <w:pPr>
      <w:ind w:leftChars="400" w:left="840"/>
      <w:jc w:val="both"/>
    </w:pPr>
  </w:style>
  <w:style w:type="paragraph" w:styleId="8">
    <w:name w:val="toc 8"/>
    <w:basedOn w:val="a"/>
    <w:next w:val="a"/>
    <w:autoRedefine/>
    <w:uiPriority w:val="39"/>
    <w:unhideWhenUsed/>
    <w:qFormat/>
    <w:pPr>
      <w:ind w:leftChars="1400" w:left="2940"/>
      <w:jc w:val="both"/>
    </w:pPr>
  </w:style>
  <w:style w:type="paragraph" w:styleId="a7">
    <w:name w:val="Balloon Text"/>
    <w:basedOn w:val="a"/>
    <w:link w:val="Char2"/>
    <w:uiPriority w:val="99"/>
    <w:semiHidden/>
    <w:unhideWhenUsed/>
    <w:qFormat/>
    <w:rPr>
      <w:sz w:val="18"/>
      <w:szCs w:val="18"/>
    </w:rPr>
  </w:style>
  <w:style w:type="paragraph" w:styleId="a8">
    <w:name w:val="footer"/>
    <w:basedOn w:val="a"/>
    <w:link w:val="Char3"/>
    <w:uiPriority w:val="99"/>
    <w:unhideWhenUsed/>
    <w:qFormat/>
    <w:pPr>
      <w:tabs>
        <w:tab w:val="center" w:pos="4153"/>
        <w:tab w:val="right" w:pos="8306"/>
      </w:tabs>
      <w:snapToGrid w:val="0"/>
    </w:pPr>
    <w:rPr>
      <w:sz w:val="18"/>
      <w:szCs w:val="18"/>
    </w:rPr>
  </w:style>
  <w:style w:type="paragraph" w:styleId="a9">
    <w:name w:val="header"/>
    <w:basedOn w:val="a"/>
    <w:link w:val="Char4"/>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uiPriority w:val="39"/>
    <w:qFormat/>
  </w:style>
  <w:style w:type="paragraph" w:styleId="40">
    <w:name w:val="toc 4"/>
    <w:basedOn w:val="a"/>
    <w:next w:val="a"/>
    <w:autoRedefine/>
    <w:uiPriority w:val="39"/>
    <w:unhideWhenUsed/>
    <w:qFormat/>
    <w:pPr>
      <w:ind w:leftChars="600" w:left="1260"/>
      <w:jc w:val="both"/>
    </w:pPr>
  </w:style>
  <w:style w:type="paragraph" w:styleId="6">
    <w:name w:val="toc 6"/>
    <w:basedOn w:val="a"/>
    <w:next w:val="a"/>
    <w:autoRedefine/>
    <w:uiPriority w:val="39"/>
    <w:unhideWhenUsed/>
    <w:qFormat/>
    <w:pPr>
      <w:ind w:leftChars="1000" w:left="2100"/>
      <w:jc w:val="both"/>
    </w:pPr>
  </w:style>
  <w:style w:type="paragraph" w:styleId="20">
    <w:name w:val="toc 2"/>
    <w:basedOn w:val="a"/>
    <w:next w:val="a"/>
    <w:autoRedefine/>
    <w:uiPriority w:val="39"/>
    <w:unhideWhenUsed/>
    <w:qFormat/>
    <w:pPr>
      <w:ind w:leftChars="200" w:left="420"/>
    </w:pPr>
  </w:style>
  <w:style w:type="paragraph" w:styleId="9">
    <w:name w:val="toc 9"/>
    <w:basedOn w:val="a"/>
    <w:next w:val="a"/>
    <w:autoRedefine/>
    <w:uiPriority w:val="39"/>
    <w:unhideWhenUsed/>
    <w:qFormat/>
    <w:pPr>
      <w:ind w:leftChars="1600" w:left="3360"/>
      <w:jc w:val="both"/>
    </w:pPr>
  </w:style>
  <w:style w:type="paragraph" w:styleId="aa">
    <w:name w:val="Normal (Web)"/>
    <w:basedOn w:val="a"/>
    <w:uiPriority w:val="99"/>
    <w:unhideWhenUsed/>
    <w:qFormat/>
    <w:pPr>
      <w:widowControl/>
      <w:spacing w:before="100" w:beforeAutospacing="1" w:after="100" w:afterAutospacing="1"/>
    </w:pPr>
    <w:rPr>
      <w:rFonts w:ascii="宋体" w:eastAsia="宋体" w:hAnsi="宋体" w:cs="宋体"/>
      <w:kern w:val="0"/>
      <w:sz w:val="24"/>
      <w:szCs w:val="24"/>
    </w:rPr>
  </w:style>
  <w:style w:type="paragraph" w:styleId="ab">
    <w:name w:val="Title"/>
    <w:basedOn w:val="a"/>
    <w:next w:val="a"/>
    <w:link w:val="Char5"/>
    <w:uiPriority w:val="10"/>
    <w:qFormat/>
    <w:pPr>
      <w:keepNext/>
      <w:keepLines/>
      <w:spacing w:before="340" w:after="330" w:line="578" w:lineRule="auto"/>
      <w:jc w:val="center"/>
    </w:pPr>
    <w:rPr>
      <w:rFonts w:ascii="Cambria" w:eastAsia="宋体" w:hAnsi="Cambria" w:cs="Times New Roman"/>
      <w:b/>
      <w:bCs/>
      <w:kern w:val="0"/>
      <w:sz w:val="32"/>
      <w:szCs w:val="32"/>
    </w:rPr>
  </w:style>
  <w:style w:type="paragraph" w:styleId="ac">
    <w:name w:val="annotation subject"/>
    <w:basedOn w:val="a5"/>
    <w:next w:val="a5"/>
    <w:link w:val="Char6"/>
    <w:uiPriority w:val="99"/>
    <w:semiHidden/>
    <w:unhideWhenUsed/>
    <w:qFormat/>
    <w:rPr>
      <w:b/>
      <w:bCs/>
    </w:rPr>
  </w:style>
  <w:style w:type="table" w:styleId="ad">
    <w:name w:val="Table Grid"/>
    <w:basedOn w:val="a2"/>
    <w:uiPriority w:val="59"/>
    <w:qFormat/>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FollowedHyperlink"/>
    <w:basedOn w:val="a1"/>
    <w:uiPriority w:val="99"/>
    <w:semiHidden/>
    <w:unhideWhenUsed/>
    <w:qFormat/>
    <w:rPr>
      <w:color w:val="954F72"/>
      <w:u w:val="single"/>
    </w:rPr>
  </w:style>
  <w:style w:type="character" w:styleId="af">
    <w:name w:val="Hyperlink"/>
    <w:basedOn w:val="a1"/>
    <w:uiPriority w:val="99"/>
    <w:unhideWhenUsed/>
    <w:qFormat/>
    <w:rPr>
      <w:color w:val="0000FF" w:themeColor="hyperlink"/>
      <w:u w:val="single"/>
    </w:rPr>
  </w:style>
  <w:style w:type="character" w:styleId="af0">
    <w:name w:val="annotation reference"/>
    <w:basedOn w:val="a1"/>
    <w:uiPriority w:val="99"/>
    <w:semiHidden/>
    <w:unhideWhenUsed/>
    <w:qFormat/>
    <w:rPr>
      <w:sz w:val="21"/>
      <w:szCs w:val="21"/>
    </w:rPr>
  </w:style>
  <w:style w:type="paragraph" w:customStyle="1" w:styleId="Header1">
    <w:name w:val="Header 1"/>
    <w:uiPriority w:val="99"/>
    <w:qFormat/>
    <w:pPr>
      <w:jc w:val="right"/>
    </w:pPr>
    <w:rPr>
      <w:rFonts w:ascii="宋体" w:hAnsiTheme="minorHAnsi" w:cstheme="minorBidi"/>
      <w:kern w:val="2"/>
      <w:sz w:val="18"/>
      <w:szCs w:val="18"/>
    </w:rPr>
  </w:style>
  <w:style w:type="paragraph" w:customStyle="1" w:styleId="headingh1">
    <w:name w:val="heading h1"/>
    <w:basedOn w:val="a"/>
    <w:next w:val="a"/>
    <w:uiPriority w:val="9"/>
    <w:qFormat/>
    <w:pPr>
      <w:keepNext/>
      <w:keepLines/>
      <w:spacing w:before="240" w:after="240" w:line="578" w:lineRule="auto"/>
      <w:outlineLvl w:val="0"/>
    </w:pPr>
    <w:rPr>
      <w:kern w:val="44"/>
      <w:sz w:val="44"/>
      <w:szCs w:val="44"/>
    </w:rPr>
  </w:style>
  <w:style w:type="paragraph" w:customStyle="1" w:styleId="fotter1">
    <w:name w:val="fotter 1"/>
    <w:uiPriority w:val="99"/>
    <w:qFormat/>
    <w:pPr>
      <w:jc w:val="right"/>
    </w:pPr>
    <w:rPr>
      <w:rFonts w:ascii="宋体" w:hAnsiTheme="minorHAnsi" w:cstheme="minorBidi"/>
      <w:kern w:val="2"/>
      <w:sz w:val="18"/>
      <w:szCs w:val="18"/>
    </w:rPr>
  </w:style>
  <w:style w:type="character" w:customStyle="1" w:styleId="Char4">
    <w:name w:val="页眉 Char"/>
    <w:basedOn w:val="a1"/>
    <w:link w:val="a9"/>
    <w:uiPriority w:val="99"/>
    <w:qFormat/>
    <w:rPr>
      <w:sz w:val="18"/>
      <w:szCs w:val="18"/>
    </w:rPr>
  </w:style>
  <w:style w:type="character" w:customStyle="1" w:styleId="Char3">
    <w:name w:val="页脚 Char"/>
    <w:basedOn w:val="a1"/>
    <w:link w:val="a8"/>
    <w:uiPriority w:val="99"/>
    <w:qFormat/>
    <w:rPr>
      <w:sz w:val="18"/>
      <w:szCs w:val="18"/>
    </w:rPr>
  </w:style>
  <w:style w:type="character" w:customStyle="1" w:styleId="Char2">
    <w:name w:val="批注框文本 Char"/>
    <w:basedOn w:val="a1"/>
    <w:link w:val="a7"/>
    <w:uiPriority w:val="99"/>
    <w:semiHidden/>
    <w:qFormat/>
    <w:rPr>
      <w:sz w:val="18"/>
      <w:szCs w:val="18"/>
    </w:rPr>
  </w:style>
  <w:style w:type="paragraph" w:customStyle="1" w:styleId="Chapter">
    <w:name w:val="Chapter"/>
    <w:next w:val="a"/>
    <w:uiPriority w:val="99"/>
    <w:qFormat/>
    <w:pPr>
      <w:keepNext/>
      <w:keepLines/>
      <w:widowControl w:val="0"/>
      <w:spacing w:before="300" w:after="300" w:line="241" w:lineRule="auto"/>
      <w:jc w:val="both"/>
    </w:pPr>
    <w:rPr>
      <w:b/>
      <w:bCs/>
      <w:kern w:val="28"/>
      <w:sz w:val="24"/>
      <w:szCs w:val="24"/>
    </w:rPr>
  </w:style>
  <w:style w:type="character" w:customStyle="1" w:styleId="Char5">
    <w:name w:val="标题 Char"/>
    <w:basedOn w:val="a1"/>
    <w:link w:val="ab"/>
    <w:uiPriority w:val="10"/>
    <w:qFormat/>
    <w:rPr>
      <w:rFonts w:ascii="Cambria" w:eastAsia="宋体" w:hAnsi="Cambria" w:cs="Times New Roman"/>
      <w:b/>
      <w:bCs/>
      <w:kern w:val="0"/>
      <w:sz w:val="32"/>
      <w:szCs w:val="32"/>
    </w:rPr>
  </w:style>
  <w:style w:type="paragraph" w:customStyle="1" w:styleId="Section">
    <w:name w:val="Section"/>
    <w:next w:val="a"/>
    <w:uiPriority w:val="99"/>
    <w:qFormat/>
    <w:pPr>
      <w:keepNext/>
      <w:keepLines/>
      <w:widowControl w:val="0"/>
      <w:spacing w:before="300" w:after="300" w:line="241" w:lineRule="auto"/>
      <w:jc w:val="both"/>
    </w:pPr>
    <w:rPr>
      <w:b/>
      <w:bCs/>
      <w:kern w:val="28"/>
      <w:sz w:val="21"/>
      <w:szCs w:val="21"/>
    </w:rPr>
  </w:style>
  <w:style w:type="paragraph" w:styleId="af1">
    <w:name w:val="List Paragraph"/>
    <w:basedOn w:val="a"/>
    <w:link w:val="Char7"/>
    <w:uiPriority w:val="34"/>
    <w:qFormat/>
    <w:pPr>
      <w:ind w:firstLineChars="200" w:firstLine="420"/>
    </w:pPr>
  </w:style>
  <w:style w:type="character" w:customStyle="1" w:styleId="Char0">
    <w:name w:val="批注文字 Char"/>
    <w:basedOn w:val="a1"/>
    <w:link w:val="a5"/>
    <w:uiPriority w:val="99"/>
    <w:qFormat/>
  </w:style>
  <w:style w:type="character" w:customStyle="1" w:styleId="Char6">
    <w:name w:val="批注主题 Char"/>
    <w:basedOn w:val="Char0"/>
    <w:link w:val="ac"/>
    <w:uiPriority w:val="99"/>
    <w:semiHidden/>
    <w:qFormat/>
    <w:rPr>
      <w:b/>
      <w:bCs/>
    </w:rPr>
  </w:style>
  <w:style w:type="paragraph" w:customStyle="1" w:styleId="TableParagraph">
    <w:name w:val="Table Paragraph"/>
    <w:basedOn w:val="a"/>
    <w:uiPriority w:val="1"/>
    <w:qFormat/>
    <w:pPr>
      <w:spacing w:before="40" w:after="40"/>
      <w:jc w:val="both"/>
    </w:pPr>
    <w:rPr>
      <w:rFonts w:ascii="宋体" w:eastAsia="宋体" w:hAnsi="宋体" w:cs="宋体"/>
      <w:sz w:val="18"/>
      <w:szCs w:val="18"/>
    </w:rPr>
  </w:style>
  <w:style w:type="character" w:customStyle="1" w:styleId="2Char">
    <w:name w:val="标题 2 Char"/>
    <w:link w:val="2"/>
    <w:uiPriority w:val="9"/>
    <w:qFormat/>
    <w:rPr>
      <w:szCs w:val="21"/>
    </w:rPr>
  </w:style>
  <w:style w:type="character" w:customStyle="1" w:styleId="Char7">
    <w:name w:val="列出段落 Char"/>
    <w:link w:val="af1"/>
    <w:uiPriority w:val="34"/>
    <w:qFormat/>
  </w:style>
  <w:style w:type="paragraph" w:customStyle="1" w:styleId="af2">
    <w:name w:val="附注－正文"/>
    <w:basedOn w:val="a6"/>
    <w:qFormat/>
    <w:pPr>
      <w:adjustRightInd w:val="0"/>
      <w:snapToGrid w:val="0"/>
      <w:spacing w:afterLines="50" w:after="0" w:line="360" w:lineRule="auto"/>
      <w:ind w:leftChars="0" w:left="0" w:firstLineChars="200" w:firstLine="200"/>
      <w:jc w:val="both"/>
    </w:pPr>
    <w:rPr>
      <w:rFonts w:ascii="Times New Roman" w:eastAsia="宋体" w:hAnsi="Times New Roman" w:cs="Times New Roman"/>
      <w:szCs w:val="20"/>
    </w:rPr>
  </w:style>
  <w:style w:type="character" w:customStyle="1" w:styleId="Char1">
    <w:name w:val="正文文本缩进 Char"/>
    <w:basedOn w:val="a1"/>
    <w:link w:val="a6"/>
    <w:uiPriority w:val="99"/>
    <w:semiHidden/>
    <w:qFormat/>
  </w:style>
  <w:style w:type="character" w:customStyle="1" w:styleId="4Char">
    <w:name w:val="标题 4 Char"/>
    <w:basedOn w:val="a1"/>
    <w:link w:val="4"/>
    <w:uiPriority w:val="9"/>
    <w:semiHidden/>
    <w:qFormat/>
    <w:rPr>
      <w:rFonts w:asciiTheme="majorHAnsi" w:eastAsiaTheme="majorEastAsia" w:hAnsiTheme="majorHAnsi" w:cstheme="majorBidi"/>
      <w:b/>
      <w:bCs/>
      <w:sz w:val="28"/>
      <w:szCs w:val="28"/>
    </w:rPr>
  </w:style>
  <w:style w:type="paragraph" w:customStyle="1" w:styleId="11">
    <w:name w:val="页眉1"/>
    <w:basedOn w:val="a"/>
    <w:uiPriority w:val="99"/>
    <w:qFormat/>
    <w:pPr>
      <w:pBdr>
        <w:bottom w:val="single" w:sz="6" w:space="1" w:color="auto"/>
      </w:pBdr>
      <w:tabs>
        <w:tab w:val="center" w:pos="4153"/>
        <w:tab w:val="right" w:pos="8306"/>
      </w:tabs>
      <w:snapToGrid w:val="0"/>
      <w:jc w:val="right"/>
    </w:pPr>
    <w:rPr>
      <w:rFonts w:ascii="Times New Roman" w:eastAsia="宋体" w:hAnsi="Times New Roman" w:cs="Times New Roman"/>
      <w:sz w:val="18"/>
      <w:szCs w:val="18"/>
    </w:rPr>
  </w:style>
  <w:style w:type="paragraph" w:customStyle="1" w:styleId="12">
    <w:name w:val="页脚1"/>
    <w:basedOn w:val="a"/>
    <w:uiPriority w:val="99"/>
    <w:qFormat/>
    <w:pPr>
      <w:tabs>
        <w:tab w:val="center" w:pos="4153"/>
        <w:tab w:val="right" w:pos="8306"/>
      </w:tabs>
      <w:snapToGrid w:val="0"/>
      <w:jc w:val="right"/>
    </w:pPr>
    <w:rPr>
      <w:rFonts w:ascii="Times New Roman" w:eastAsia="宋体" w:hAnsi="Times New Roman" w:cs="Times New Roman"/>
      <w:sz w:val="18"/>
      <w:szCs w:val="18"/>
    </w:rPr>
  </w:style>
  <w:style w:type="character" w:customStyle="1" w:styleId="Char">
    <w:name w:val="文档结构图 Char"/>
    <w:basedOn w:val="a1"/>
    <w:link w:val="a4"/>
    <w:uiPriority w:val="99"/>
    <w:semiHidden/>
    <w:qFormat/>
    <w:rPr>
      <w:rFonts w:ascii="宋体" w:eastAsia="宋体" w:hAnsi="Times New Roman" w:cs="Times New Roman"/>
      <w:kern w:val="0"/>
      <w:sz w:val="18"/>
      <w:szCs w:val="18"/>
    </w:rPr>
  </w:style>
  <w:style w:type="character" w:customStyle="1" w:styleId="fontsize18px">
    <w:name w:val="fontsize18px"/>
    <w:basedOn w:val="a1"/>
    <w:qFormat/>
  </w:style>
  <w:style w:type="character" w:customStyle="1" w:styleId="font11">
    <w:name w:val="font11"/>
    <w:qFormat/>
    <w:rPr>
      <w:rFonts w:ascii="仿宋_GB2312" w:eastAsia="仿宋_GB2312" w:cs="仿宋_GB2312" w:hint="default"/>
      <w:color w:val="000000"/>
      <w:sz w:val="20"/>
      <w:szCs w:val="20"/>
      <w:u w:val="none"/>
    </w:rPr>
  </w:style>
  <w:style w:type="character" w:customStyle="1" w:styleId="font21">
    <w:name w:val="font21"/>
    <w:qFormat/>
    <w:rPr>
      <w:rFonts w:ascii="Arial Narrow" w:eastAsia="Arial Narrow" w:hAnsi="Arial Narrow" w:cs="Arial Narrow"/>
      <w:color w:val="000000"/>
      <w:sz w:val="20"/>
      <w:szCs w:val="20"/>
      <w:u w:val="none"/>
    </w:rPr>
  </w:style>
  <w:style w:type="character" w:customStyle="1" w:styleId="3Char">
    <w:name w:val="标题 3 Char"/>
    <w:link w:val="30"/>
    <w:uiPriority w:val="99"/>
    <w:qFormat/>
    <w:rPr>
      <w:rFonts w:eastAsia="宋体"/>
      <w:szCs w:val="21"/>
    </w:rPr>
  </w:style>
  <w:style w:type="paragraph" w:customStyle="1" w:styleId="13">
    <w:name w:val="修订1"/>
    <w:hidden/>
    <w:uiPriority w:val="99"/>
    <w:semiHidden/>
    <w:qFormat/>
    <w:rPr>
      <w:kern w:val="2"/>
      <w:sz w:val="18"/>
      <w:szCs w:val="18"/>
    </w:rPr>
  </w:style>
  <w:style w:type="character" w:customStyle="1" w:styleId="1Char">
    <w:name w:val="标题 1 Char"/>
    <w:basedOn w:val="a1"/>
    <w:link w:val="1"/>
    <w:qFormat/>
    <w:rPr>
      <w:rFonts w:ascii="Arial Narrow" w:eastAsia="仿宋_GB2312" w:hAnsi="Arial Narrow" w:cs="Times New Roman"/>
      <w:b/>
      <w:sz w:val="24"/>
      <w:szCs w:val="24"/>
    </w:rPr>
  </w:style>
  <w:style w:type="paragraph" w:customStyle="1" w:styleId="3">
    <w:name w:val="标题3的样式"/>
    <w:basedOn w:val="21"/>
    <w:qFormat/>
    <w:pPr>
      <w:widowControl/>
      <w:numPr>
        <w:ilvl w:val="2"/>
        <w:numId w:val="1"/>
      </w:numPr>
      <w:snapToGrid w:val="0"/>
      <w:spacing w:beforeLines="50" w:before="50" w:afterLines="90" w:after="90"/>
    </w:pPr>
    <w:rPr>
      <w:rFonts w:ascii="Arial Narrow" w:eastAsia="仿宋_GB2312" w:hAnsi="Arial Narrow" w:cs="Times New Roman"/>
      <w:sz w:val="24"/>
      <w:szCs w:val="24"/>
    </w:rPr>
  </w:style>
  <w:style w:type="paragraph" w:customStyle="1" w:styleId="21">
    <w:name w:val="样式2"/>
    <w:basedOn w:val="30"/>
    <w:qFormat/>
  </w:style>
  <w:style w:type="paragraph" w:customStyle="1" w:styleId="msonormal0">
    <w:name w:val="msonormal"/>
    <w:basedOn w:val="a"/>
    <w:qFormat/>
    <w:pPr>
      <w:widowControl/>
      <w:spacing w:before="100" w:beforeAutospacing="1" w:after="100" w:afterAutospacing="1"/>
    </w:pPr>
    <w:rPr>
      <w:rFonts w:ascii="宋体" w:eastAsia="宋体" w:hAnsi="宋体" w:cs="宋体"/>
      <w:kern w:val="0"/>
      <w:sz w:val="24"/>
      <w:szCs w:val="24"/>
    </w:rPr>
  </w:style>
  <w:style w:type="paragraph" w:customStyle="1" w:styleId="font5">
    <w:name w:val="font5"/>
    <w:basedOn w:val="a"/>
    <w:qFormat/>
    <w:pPr>
      <w:widowControl/>
      <w:spacing w:before="100" w:beforeAutospacing="1" w:after="100" w:afterAutospacing="1"/>
    </w:pPr>
    <w:rPr>
      <w:rFonts w:ascii="等线" w:eastAsia="等线" w:hAnsi="等线" w:cs="宋体"/>
      <w:kern w:val="0"/>
      <w:sz w:val="18"/>
      <w:szCs w:val="18"/>
    </w:rPr>
  </w:style>
  <w:style w:type="paragraph" w:customStyle="1" w:styleId="xl74">
    <w:name w:val="xl74"/>
    <w:basedOn w:val="a"/>
    <w:qFormat/>
    <w:pPr>
      <w:widowControl/>
      <w:pBdr>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5">
    <w:name w:val="xl75"/>
    <w:basedOn w:val="a"/>
    <w:qFormat/>
    <w:pPr>
      <w:widowControl/>
      <w:pBdr>
        <w:top w:val="single" w:sz="8" w:space="0" w:color="auto"/>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6">
    <w:name w:val="xl76"/>
    <w:basedOn w:val="a"/>
    <w:qFormat/>
    <w:pPr>
      <w:widowControl/>
      <w:pBdr>
        <w:top w:val="single" w:sz="8" w:space="0" w:color="auto"/>
        <w:left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7">
    <w:name w:val="xl77"/>
    <w:basedOn w:val="a"/>
    <w:qFormat/>
    <w:pPr>
      <w:widowControl/>
      <w:pBdr>
        <w:left w:val="single" w:sz="8" w:space="0" w:color="auto"/>
        <w:bottom w:val="single" w:sz="8" w:space="0" w:color="auto"/>
        <w:right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8">
    <w:name w:val="xl78"/>
    <w:basedOn w:val="a"/>
    <w:qFormat/>
    <w:pPr>
      <w:widowControl/>
      <w:pBdr>
        <w:top w:val="single" w:sz="8" w:space="0" w:color="auto"/>
        <w:left w:val="single" w:sz="8" w:space="0" w:color="auto"/>
        <w:bottom w:val="single" w:sz="8" w:space="0" w:color="auto"/>
      </w:pBdr>
      <w:shd w:val="clear" w:color="000000" w:fill="D3D3D3"/>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79">
    <w:name w:val="xl79"/>
    <w:basedOn w:val="a"/>
    <w:qFormat/>
    <w:pPr>
      <w:widowControl/>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xl80">
    <w:name w:val="xl80"/>
    <w:basedOn w:val="a"/>
    <w:qFormat/>
    <w:pPr>
      <w:widowControl/>
      <w:pBdr>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xl81">
    <w:name w:val="xl81"/>
    <w:basedOn w:val="a"/>
    <w:qFormat/>
    <w:pPr>
      <w:widowControl/>
      <w:pBdr>
        <w:bottom w:val="single" w:sz="8" w:space="0" w:color="auto"/>
        <w:right w:val="single" w:sz="8" w:space="0" w:color="auto"/>
      </w:pBdr>
      <w:shd w:val="clear" w:color="000000" w:fill="FFFFFF"/>
      <w:spacing w:before="100" w:beforeAutospacing="1" w:after="100" w:afterAutospacing="1"/>
      <w:jc w:val="center"/>
      <w:textAlignment w:val="center"/>
    </w:pPr>
    <w:rPr>
      <w:rFonts w:ascii="宋体" w:eastAsia="宋体" w:hAnsi="宋体" w:cs="宋体"/>
      <w:color w:val="000000"/>
      <w:kern w:val="0"/>
      <w:sz w:val="18"/>
      <w:szCs w:val="18"/>
    </w:rPr>
  </w:style>
  <w:style w:type="paragraph" w:customStyle="1" w:styleId="xl82">
    <w:name w:val="xl82"/>
    <w:basedOn w:val="a"/>
    <w:qFormat/>
    <w:pPr>
      <w:widowControl/>
      <w:pBdr>
        <w:bottom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宋体" w:hAnsi="Times New Roman" w:cs="Times New Roman"/>
      <w:color w:val="000000"/>
      <w:kern w:val="0"/>
      <w:sz w:val="18"/>
      <w:szCs w:val="18"/>
    </w:rPr>
  </w:style>
  <w:style w:type="paragraph" w:customStyle="1" w:styleId="xl83">
    <w:name w:val="xl83"/>
    <w:basedOn w:val="a"/>
    <w:qFormat/>
    <w:pPr>
      <w:widowControl/>
      <w:pBdr>
        <w:bottom w:val="single" w:sz="8" w:space="0" w:color="auto"/>
        <w:right w:val="single" w:sz="8" w:space="0" w:color="auto"/>
      </w:pBdr>
      <w:shd w:val="clear" w:color="000000" w:fill="FFFFFF"/>
      <w:spacing w:before="100" w:beforeAutospacing="1" w:after="100" w:afterAutospacing="1"/>
      <w:textAlignment w:val="center"/>
    </w:pPr>
    <w:rPr>
      <w:rFonts w:ascii="宋体" w:eastAsia="宋体" w:hAnsi="宋体" w:cs="宋体"/>
      <w:color w:val="000000"/>
      <w:kern w:val="0"/>
      <w:sz w:val="18"/>
      <w:szCs w:val="18"/>
    </w:rPr>
  </w:style>
  <w:style w:type="paragraph" w:customStyle="1" w:styleId="font6">
    <w:name w:val="font6"/>
    <w:basedOn w:val="a"/>
    <w:qFormat/>
    <w:pPr>
      <w:widowControl/>
      <w:spacing w:before="100" w:beforeAutospacing="1" w:after="100" w:afterAutospacing="1"/>
    </w:pPr>
    <w:rPr>
      <w:rFonts w:ascii="Times New Roman" w:eastAsia="宋体" w:hAnsi="Times New Roman" w:cs="Times New Roman"/>
      <w:color w:val="000000"/>
      <w:kern w:val="0"/>
      <w:sz w:val="18"/>
      <w:szCs w:val="18"/>
    </w:rPr>
  </w:style>
  <w:style w:type="paragraph" w:customStyle="1" w:styleId="font7">
    <w:name w:val="font7"/>
    <w:basedOn w:val="a"/>
    <w:qFormat/>
    <w:pPr>
      <w:widowControl/>
      <w:spacing w:before="100" w:beforeAutospacing="1" w:after="100" w:afterAutospacing="1"/>
    </w:pPr>
    <w:rPr>
      <w:rFonts w:ascii="等线" w:eastAsia="等线" w:hAnsi="等线" w:cs="宋体"/>
      <w:kern w:val="0"/>
      <w:sz w:val="18"/>
      <w:szCs w:val="18"/>
    </w:rPr>
  </w:style>
  <w:style w:type="paragraph" w:customStyle="1" w:styleId="xl65">
    <w:name w:val="xl65"/>
    <w:basedOn w:val="a"/>
    <w:qFormat/>
    <w:pPr>
      <w:widowControl/>
      <w:pBdr>
        <w:top w:val="single" w:sz="8" w:space="0" w:color="auto"/>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66">
    <w:name w:val="xl66"/>
    <w:basedOn w:val="a"/>
    <w:qFormat/>
    <w:pPr>
      <w:widowControl/>
      <w:pBdr>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67">
    <w:name w:val="xl67"/>
    <w:basedOn w:val="a"/>
    <w:qFormat/>
    <w:pPr>
      <w:widowControl/>
      <w:pBdr>
        <w:bottom w:val="single" w:sz="8" w:space="0" w:color="auto"/>
        <w:right w:val="single" w:sz="8" w:space="0" w:color="auto"/>
      </w:pBdr>
      <w:shd w:val="clear" w:color="000000" w:fill="FFFFFF"/>
      <w:spacing w:before="100" w:beforeAutospacing="1" w:after="100" w:afterAutospacing="1"/>
    </w:pPr>
    <w:rPr>
      <w:rFonts w:ascii="宋体" w:eastAsia="宋体" w:hAnsi="宋体" w:cs="宋体"/>
      <w:color w:val="000000"/>
      <w:kern w:val="0"/>
      <w:sz w:val="18"/>
      <w:szCs w:val="18"/>
    </w:rPr>
  </w:style>
  <w:style w:type="paragraph" w:customStyle="1" w:styleId="xl68">
    <w:name w:val="xl68"/>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宋体" w:eastAsia="宋体" w:hAnsi="宋体" w:cs="宋体"/>
      <w:color w:val="000000"/>
      <w:kern w:val="0"/>
      <w:sz w:val="18"/>
      <w:szCs w:val="18"/>
    </w:rPr>
  </w:style>
  <w:style w:type="paragraph" w:customStyle="1" w:styleId="xl69">
    <w:name w:val="xl69"/>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70">
    <w:name w:val="xl70"/>
    <w:basedOn w:val="a"/>
    <w:qFormat/>
    <w:pPr>
      <w:widowControl/>
      <w:pBdr>
        <w:bottom w:val="single" w:sz="8" w:space="0" w:color="auto"/>
        <w:right w:val="single" w:sz="8"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71">
    <w:name w:val="xl71"/>
    <w:basedOn w:val="a"/>
    <w:qFormat/>
    <w:pPr>
      <w:widowControl/>
      <w:pBdr>
        <w:bottom w:val="single" w:sz="8" w:space="0" w:color="auto"/>
        <w:right w:val="single" w:sz="8" w:space="0" w:color="auto"/>
      </w:pBdr>
      <w:shd w:val="clear" w:color="000000" w:fill="FFFFFF"/>
      <w:spacing w:before="100" w:beforeAutospacing="1" w:after="100" w:afterAutospacing="1"/>
      <w:jc w:val="center"/>
    </w:pPr>
    <w:rPr>
      <w:rFonts w:ascii="宋体" w:eastAsia="宋体" w:hAnsi="宋体" w:cs="宋体"/>
      <w:color w:val="000000"/>
      <w:kern w:val="0"/>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宋体" w:eastAsia="宋体" w:hAnsi="宋体" w:cs="宋体"/>
      <w:color w:val="000000"/>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Times New Roman" w:eastAsia="宋体" w:hAnsi="Times New Roman" w:cs="Times New Roman"/>
      <w:color w:val="000000"/>
      <w:kern w:val="0"/>
      <w:sz w:val="18"/>
      <w:szCs w:val="18"/>
    </w:rPr>
  </w:style>
  <w:style w:type="paragraph" w:customStyle="1" w:styleId="xl84">
    <w:name w:val="xl84"/>
    <w:basedOn w:val="a"/>
    <w:qFormat/>
    <w:pPr>
      <w:widowControl/>
      <w:pBdr>
        <w:left w:val="single" w:sz="8" w:space="0" w:color="auto"/>
        <w:bottom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5">
    <w:name w:val="xl85"/>
    <w:basedOn w:val="a"/>
    <w:qFormat/>
    <w:pPr>
      <w:widowControl/>
      <w:pBdr>
        <w:top w:val="single" w:sz="8" w:space="0" w:color="auto"/>
        <w:left w:val="single" w:sz="8" w:space="0" w:color="auto"/>
        <w:bottom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6">
    <w:name w:val="xl86"/>
    <w:basedOn w:val="a"/>
    <w:qFormat/>
    <w:pPr>
      <w:widowControl/>
      <w:pBdr>
        <w:top w:val="single" w:sz="8" w:space="0" w:color="auto"/>
        <w:right w:val="single" w:sz="8" w:space="0" w:color="auto"/>
      </w:pBdr>
      <w:shd w:val="clear" w:color="000000" w:fill="D3D3D3"/>
      <w:spacing w:before="100" w:beforeAutospacing="1" w:after="100" w:afterAutospacing="1"/>
      <w:jc w:val="center"/>
    </w:pPr>
    <w:rPr>
      <w:rFonts w:ascii="宋体" w:eastAsia="宋体" w:hAnsi="宋体" w:cs="宋体"/>
      <w:color w:val="000000"/>
      <w:kern w:val="0"/>
      <w:sz w:val="18"/>
      <w:szCs w:val="18"/>
    </w:rPr>
  </w:style>
  <w:style w:type="paragraph" w:customStyle="1" w:styleId="xl87">
    <w:name w:val="xl87"/>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88">
    <w:name w:val="xl88"/>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kern w:val="0"/>
      <w:sz w:val="18"/>
      <w:szCs w:val="18"/>
    </w:rPr>
  </w:style>
  <w:style w:type="paragraph" w:customStyle="1" w:styleId="xl91">
    <w:name w:val="xl91"/>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2">
    <w:name w:val="xl92"/>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color w:val="000000"/>
      <w:kern w:val="0"/>
      <w:sz w:val="18"/>
      <w:szCs w:val="18"/>
    </w:rPr>
  </w:style>
  <w:style w:type="paragraph" w:customStyle="1" w:styleId="xl93">
    <w:name w:val="xl93"/>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94">
    <w:name w:val="xl94"/>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color w:val="000000"/>
      <w:kern w:val="0"/>
      <w:sz w:val="18"/>
      <w:szCs w:val="18"/>
    </w:rPr>
  </w:style>
  <w:style w:type="paragraph" w:customStyle="1" w:styleId="xl95">
    <w:name w:val="xl95"/>
    <w:basedOn w:val="a"/>
    <w:qFormat/>
    <w:pPr>
      <w:widowControl/>
      <w:pBdr>
        <w:bottom w:val="single" w:sz="8" w:space="0" w:color="auto"/>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96">
    <w:name w:val="xl96"/>
    <w:basedOn w:val="a"/>
    <w:qFormat/>
    <w:pPr>
      <w:widowControl/>
      <w:pBdr>
        <w:right w:val="single" w:sz="8" w:space="0" w:color="auto"/>
      </w:pBdr>
      <w:spacing w:before="100" w:beforeAutospacing="1" w:after="100" w:afterAutospacing="1"/>
      <w:jc w:val="right"/>
    </w:pPr>
    <w:rPr>
      <w:rFonts w:ascii="宋体" w:eastAsia="宋体" w:hAnsi="宋体" w:cs="宋体"/>
      <w:kern w:val="0"/>
      <w:sz w:val="18"/>
      <w:szCs w:val="18"/>
    </w:rPr>
  </w:style>
  <w:style w:type="paragraph" w:customStyle="1" w:styleId="xl97">
    <w:name w:val="xl97"/>
    <w:basedOn w:val="a"/>
    <w:qFormat/>
    <w:pPr>
      <w:widowControl/>
      <w:pBdr>
        <w:right w:val="single" w:sz="8" w:space="0" w:color="auto"/>
      </w:pBdr>
      <w:spacing w:before="100" w:beforeAutospacing="1" w:after="100" w:afterAutospacing="1"/>
    </w:pPr>
    <w:rPr>
      <w:rFonts w:ascii="宋体" w:eastAsia="宋体" w:hAnsi="宋体" w:cs="宋体"/>
      <w:color w:val="000000"/>
      <w:kern w:val="0"/>
      <w:sz w:val="18"/>
      <w:szCs w:val="18"/>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eastAsia="宋体" w:hAnsi="宋体" w:cs="宋体"/>
      <w:kern w:val="0"/>
      <w:sz w:val="18"/>
      <w:szCs w:val="1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color w:val="000000"/>
      <w:kern w:val="0"/>
      <w:sz w:val="18"/>
      <w:szCs w:val="18"/>
    </w:rPr>
  </w:style>
  <w:style w:type="paragraph" w:customStyle="1" w:styleId="xl100">
    <w:name w:val="xl100"/>
    <w:basedOn w:val="a"/>
    <w:qFormat/>
    <w:pPr>
      <w:widowControl/>
      <w:pBdr>
        <w:bottom w:val="single" w:sz="8" w:space="0" w:color="auto"/>
        <w:right w:val="single" w:sz="8" w:space="0" w:color="auto"/>
      </w:pBdr>
      <w:spacing w:before="100" w:beforeAutospacing="1" w:after="100" w:afterAutospacing="1"/>
      <w:jc w:val="center"/>
    </w:pPr>
    <w:rPr>
      <w:rFonts w:ascii="宋体" w:eastAsia="宋体" w:hAnsi="宋体" w:cs="宋体"/>
      <w:kern w:val="0"/>
      <w:sz w:val="18"/>
      <w:szCs w:val="18"/>
    </w:rPr>
  </w:style>
  <w:style w:type="paragraph" w:customStyle="1" w:styleId="xl101">
    <w:name w:val="xl101"/>
    <w:basedOn w:val="a"/>
    <w:qFormat/>
    <w:pPr>
      <w:widowControl/>
      <w:pBdr>
        <w:bottom w:val="single" w:sz="8" w:space="0" w:color="auto"/>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102">
    <w:name w:val="xl102"/>
    <w:basedOn w:val="a"/>
    <w:qFormat/>
    <w:pPr>
      <w:widowControl/>
      <w:pBdr>
        <w:right w:val="single" w:sz="8" w:space="0" w:color="auto"/>
      </w:pBdr>
      <w:spacing w:before="100" w:beforeAutospacing="1" w:after="100" w:afterAutospacing="1"/>
    </w:pPr>
    <w:rPr>
      <w:rFonts w:ascii="宋体" w:eastAsia="宋体" w:hAnsi="宋体" w:cs="宋体"/>
      <w:kern w:val="0"/>
      <w:sz w:val="18"/>
      <w:szCs w:val="18"/>
    </w:rPr>
  </w:style>
  <w:style w:type="paragraph" w:customStyle="1" w:styleId="xl103">
    <w:name w:val="xl103"/>
    <w:basedOn w:val="a"/>
    <w:qFormat/>
    <w:pPr>
      <w:widowControl/>
      <w:spacing w:before="100" w:beforeAutospacing="1" w:after="100" w:afterAutospacing="1"/>
    </w:pPr>
    <w:rPr>
      <w:rFonts w:ascii="宋体" w:eastAsia="宋体" w:hAnsi="宋体" w:cs="宋体"/>
      <w:color w:val="000000"/>
      <w:kern w:val="0"/>
      <w:sz w:val="18"/>
      <w:szCs w:val="18"/>
    </w:rPr>
  </w:style>
  <w:style w:type="paragraph" w:customStyle="1" w:styleId="xl104">
    <w:name w:val="xl104"/>
    <w:basedOn w:val="a"/>
    <w:qFormat/>
    <w:pPr>
      <w:widowControl/>
      <w:spacing w:before="100" w:beforeAutospacing="1" w:after="100" w:afterAutospacing="1"/>
    </w:pPr>
    <w:rPr>
      <w:rFonts w:ascii="宋体" w:eastAsia="宋体" w:hAnsi="宋体" w:cs="宋体"/>
      <w:kern w:val="0"/>
      <w:sz w:val="18"/>
      <w:szCs w:val="18"/>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18"/>
      <w:szCs w:val="18"/>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宋体"/>
      <w:color w:val="000000"/>
      <w:kern w:val="0"/>
      <w:sz w:val="18"/>
      <w:szCs w:val="18"/>
    </w:rPr>
  </w:style>
  <w:style w:type="paragraph" w:customStyle="1" w:styleId="xl107">
    <w:name w:val="xl107"/>
    <w:basedOn w:val="a"/>
    <w:qFormat/>
    <w:pPr>
      <w:widowControl/>
      <w:spacing w:before="100" w:beforeAutospacing="1" w:after="100" w:afterAutospacing="1"/>
      <w:jc w:val="center"/>
    </w:pPr>
    <w:rPr>
      <w:rFonts w:ascii="宋体" w:eastAsia="宋体" w:hAnsi="宋体" w:cs="宋体"/>
      <w:color w:val="000000"/>
      <w:kern w:val="0"/>
      <w:sz w:val="18"/>
      <w:szCs w:val="18"/>
    </w:rPr>
  </w:style>
  <w:style w:type="paragraph" w:customStyle="1" w:styleId="xl108">
    <w:name w:val="xl108"/>
    <w:basedOn w:val="a"/>
    <w:qFormat/>
    <w:pPr>
      <w:widowControl/>
      <w:spacing w:before="100" w:beforeAutospacing="1" w:after="100" w:afterAutospacing="1"/>
    </w:pPr>
    <w:rPr>
      <w:rFonts w:ascii="宋体" w:eastAsia="宋体" w:hAnsi="宋体" w:cs="宋体"/>
      <w:color w:val="000000"/>
      <w:kern w:val="0"/>
      <w:sz w:val="18"/>
      <w:szCs w:val="18"/>
    </w:rPr>
  </w:style>
  <w:style w:type="table" w:customStyle="1" w:styleId="14">
    <w:name w:val="网格型1"/>
    <w:basedOn w:val="a2"/>
    <w:uiPriority w:val="59"/>
    <w:qFormat/>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修订2"/>
    <w:hidden/>
    <w:uiPriority w:val="99"/>
    <w:semiHidden/>
    <w:qFormat/>
    <w:rPr>
      <w:kern w:val="2"/>
      <w:sz w:val="18"/>
      <w:szCs w:val="18"/>
    </w:rPr>
  </w:style>
  <w:style w:type="character" w:customStyle="1" w:styleId="font31">
    <w:name w:val="font31"/>
    <w:basedOn w:val="a1"/>
    <w:qFormat/>
    <w:rPr>
      <w:rFonts w:ascii="Times New Roman" w:hAnsi="Times New Roman" w:cs="Times New Roman" w:hint="default"/>
      <w:color w:val="000000"/>
      <w:sz w:val="18"/>
      <w:szCs w:val="18"/>
      <w:u w:val="none"/>
    </w:rPr>
  </w:style>
  <w:style w:type="character" w:customStyle="1" w:styleId="font41">
    <w:name w:val="font41"/>
    <w:basedOn w:val="a1"/>
    <w:qFormat/>
    <w:rPr>
      <w:rFonts w:ascii="Times New Roman" w:hAnsi="Times New Roman" w:cs="Times New Roman" w:hint="default"/>
      <w:color w:val="000000"/>
      <w:sz w:val="18"/>
      <w:szCs w:val="18"/>
      <w:u w:val="none"/>
    </w:rPr>
  </w:style>
  <w:style w:type="character" w:customStyle="1" w:styleId="font61">
    <w:name w:val="font61"/>
    <w:basedOn w:val="a1"/>
    <w:qFormat/>
    <w:rPr>
      <w:rFonts w:ascii="Times New Roman" w:hAnsi="Times New Roman" w:cs="Times New Roman" w:hint="default"/>
      <w:color w:val="000000"/>
      <w:sz w:val="18"/>
      <w:szCs w:val="18"/>
      <w:u w:val="none"/>
    </w:rPr>
  </w:style>
  <w:style w:type="character" w:customStyle="1" w:styleId="font51">
    <w:name w:val="font51"/>
    <w:basedOn w:val="a1"/>
    <w:qFormat/>
    <w:rPr>
      <w:rFonts w:ascii="宋体" w:eastAsia="宋体" w:hAnsi="宋体" w:cs="宋体" w:hint="eastAsia"/>
      <w:color w:val="000000"/>
      <w:sz w:val="18"/>
      <w:szCs w:val="18"/>
      <w:u w:val="none"/>
    </w:rPr>
  </w:style>
  <w:style w:type="paragraph" w:customStyle="1" w:styleId="32">
    <w:name w:val="修订3"/>
    <w:hidden/>
    <w:uiPriority w:val="99"/>
    <w:semiHidden/>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127985">
      <w:bodyDiv w:val="1"/>
      <w:marLeft w:val="0"/>
      <w:marRight w:val="0"/>
      <w:marTop w:val="0"/>
      <w:marBottom w:val="0"/>
      <w:divBdr>
        <w:top w:val="none" w:sz="0" w:space="0" w:color="auto"/>
        <w:left w:val="none" w:sz="0" w:space="0" w:color="auto"/>
        <w:bottom w:val="none" w:sz="0" w:space="0" w:color="auto"/>
        <w:right w:val="none" w:sz="0" w:space="0" w:color="auto"/>
      </w:divBdr>
    </w:div>
    <w:div w:id="2106536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53403E-360D-4053-9C50-59936BDF8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125</Pages>
  <Words>26392</Words>
  <Characters>150440</Characters>
  <Application>Microsoft Office Word</Application>
  <DocSecurity>0</DocSecurity>
  <Lines>1253</Lines>
  <Paragraphs>352</Paragraphs>
  <ScaleCrop>false</ScaleCrop>
  <Company>Microsoft</Company>
  <LinksUpToDate>false</LinksUpToDate>
  <CharactersWithSpaces>176480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ZXT</dc:creator>
  <cp:lastModifiedBy>ZXT</cp:lastModifiedBy>
  <cp:revision>979</cp:revision>
  <cp:lastPrinted>2025-03-31T02:33:00Z</cp:lastPrinted>
  <dcterms:created xsi:type="dcterms:W3CDTF">2023-02-19T23:55:00Z</dcterms:created>
  <dcterms:modified xsi:type="dcterms:W3CDTF">2025-03-31T02:37:00Z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eyJoZGlkIjoiMzBkMTliNDU3OWNiZWZhMmMxN2NkYTg4YWYwYmY0ZTkiLCJ1c2VySWQiOiIxNjgwNTg3NjE4In0=</vt:lpwstr>
  </property>
  <property fmtid="{D5CDD505-2E9C-101B-9397-08002B2CF9AE}" pid="3" name="KSOProductBuildVer">
    <vt:lpwstr>2052-12.1.0.20305</vt:lpwstr>
  </property>
  <property fmtid="{D5CDD505-2E9C-101B-9397-08002B2CF9AE}" pid="4" name="ICV">
    <vt:lpwstr>A8A197584EEC4E0583CA816BD48AC65C_13</vt:lpwstr>
  </property>
</Properties>
</file>